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C58E" w14:textId="77777777" w:rsidR="0022108C" w:rsidRDefault="0022108C" w:rsidP="00526552">
      <w:pPr>
        <w:rPr>
          <w:b/>
        </w:rPr>
        <w:sectPr w:rsidR="0022108C" w:rsidSect="007A6FB5">
          <w:footerReference w:type="default" r:id="rId8"/>
          <w:headerReference w:type="first" r:id="rId9"/>
          <w:footerReference w:type="first" r:id="rId10"/>
          <w:type w:val="continuous"/>
          <w:pgSz w:w="12240" w:h="15840"/>
          <w:pgMar w:top="1440" w:right="1080" w:bottom="1440" w:left="1080" w:header="720" w:footer="720" w:gutter="0"/>
          <w:cols w:space="720"/>
          <w:titlePg/>
          <w:docGrid w:linePitch="360"/>
        </w:sectPr>
      </w:pPr>
    </w:p>
    <w:p w14:paraId="18915460" w14:textId="7B4E8B33" w:rsidR="00052F31" w:rsidRDefault="00052F31" w:rsidP="00C353C1">
      <w:pPr>
        <w:jc w:val="both"/>
      </w:pPr>
      <w:r w:rsidRPr="0093710B">
        <w:t xml:space="preserve">PSERS </w:t>
      </w:r>
      <w:r w:rsidR="00001D10" w:rsidRPr="0093710B">
        <w:t xml:space="preserve">seeks to generate the highest risk-adjusted net-of-fee returns over time. To fulfill this objective, PSERS </w:t>
      </w:r>
      <w:r w:rsidRPr="0093710B">
        <w:t>employ</w:t>
      </w:r>
      <w:r w:rsidR="00613EE9" w:rsidRPr="0093710B">
        <w:t>s</w:t>
      </w:r>
      <w:r w:rsidRPr="0093710B">
        <w:t xml:space="preserve"> </w:t>
      </w:r>
      <w:r w:rsidR="00A774DA">
        <w:t>E</w:t>
      </w:r>
      <w:r w:rsidRPr="0093710B">
        <w:t xml:space="preserve">xternal </w:t>
      </w:r>
      <w:r w:rsidR="00A774DA">
        <w:t>Portfolio</w:t>
      </w:r>
      <w:r w:rsidRPr="0093710B">
        <w:t xml:space="preserve"> </w:t>
      </w:r>
      <w:r w:rsidR="00A774DA">
        <w:t>M</w:t>
      </w:r>
      <w:r w:rsidRPr="0093710B">
        <w:t xml:space="preserve">anagers </w:t>
      </w:r>
      <w:r w:rsidR="00001D10" w:rsidRPr="0093710B">
        <w:t xml:space="preserve">in </w:t>
      </w:r>
      <w:r w:rsidR="00613EE9" w:rsidRPr="0093710B">
        <w:t>areas</w:t>
      </w:r>
      <w:r w:rsidR="00001D10" w:rsidRPr="0093710B">
        <w:t xml:space="preserve"> where it does not have the in-house expertise</w:t>
      </w:r>
      <w:r w:rsidR="000A4983" w:rsidRPr="0093710B">
        <w:t xml:space="preserve"> and/or where PSERS believes the manager can reliably outperform its peers and a</w:t>
      </w:r>
      <w:r w:rsidR="00A774DA">
        <w:t xml:space="preserve"> net</w:t>
      </w:r>
      <w:r w:rsidR="007A6D4F">
        <w:t>-</w:t>
      </w:r>
      <w:r w:rsidR="00A774DA">
        <w:t>of</w:t>
      </w:r>
      <w:r w:rsidR="007A6D4F">
        <w:t>-</w:t>
      </w:r>
      <w:r w:rsidR="00A774DA">
        <w:t>fee</w:t>
      </w:r>
      <w:r w:rsidR="000A4983" w:rsidRPr="0093710B">
        <w:t xml:space="preserve"> benchmark</w:t>
      </w:r>
      <w:r w:rsidRPr="0093710B">
        <w:t xml:space="preserve">. </w:t>
      </w:r>
      <w:r w:rsidR="00A67999" w:rsidRPr="0093710B">
        <w:t xml:space="preserve"> </w:t>
      </w:r>
      <w:r w:rsidR="00060A01">
        <w:t>One</w:t>
      </w:r>
      <w:r w:rsidR="00A67999" w:rsidRPr="0093710B">
        <w:t xml:space="preserve"> </w:t>
      </w:r>
      <w:r w:rsidR="00613EE9" w:rsidRPr="0093710B">
        <w:t>component o</w:t>
      </w:r>
      <w:r w:rsidR="00A67999" w:rsidRPr="0093710B">
        <w:t xml:space="preserve">f whether to hire, retain, or terminate an </w:t>
      </w:r>
      <w:r w:rsidR="00A774DA">
        <w:t>E</w:t>
      </w:r>
      <w:r w:rsidR="00A67999" w:rsidRPr="0093710B">
        <w:t xml:space="preserve">xternal </w:t>
      </w:r>
      <w:r w:rsidR="00A774DA">
        <w:t>Portfolio</w:t>
      </w:r>
      <w:r w:rsidR="00A67999" w:rsidRPr="0093710B">
        <w:t xml:space="preserve"> </w:t>
      </w:r>
      <w:r w:rsidR="00A774DA">
        <w:t>M</w:t>
      </w:r>
      <w:r w:rsidR="00A67999" w:rsidRPr="0093710B">
        <w:t>anager is the investment management fee charged by that manager for its services.  In recognition of the importance of investment management fees,</w:t>
      </w:r>
      <w:r w:rsidRPr="0093710B">
        <w:t xml:space="preserve"> </w:t>
      </w:r>
      <w:r w:rsidR="00080B09">
        <w:t>I</w:t>
      </w:r>
      <w:r w:rsidR="00080B09" w:rsidRPr="0093710B">
        <w:t xml:space="preserve">nvestment </w:t>
      </w:r>
      <w:r w:rsidR="00080B09">
        <w:t>O</w:t>
      </w:r>
      <w:r w:rsidR="00080B09" w:rsidRPr="0093710B">
        <w:t>ffice</w:t>
      </w:r>
      <w:r w:rsidR="00080B09">
        <w:t xml:space="preserve"> P</w:t>
      </w:r>
      <w:r w:rsidR="009F3BE1">
        <w:t>rofessional</w:t>
      </w:r>
      <w:r w:rsidR="00A774DA">
        <w:t>s</w:t>
      </w:r>
      <w:r w:rsidRPr="0093710B">
        <w:t xml:space="preserve"> </w:t>
      </w:r>
      <w:r w:rsidR="00E77F7A" w:rsidRPr="0093710B">
        <w:t>(IO</w:t>
      </w:r>
      <w:r w:rsidR="009F3BE1">
        <w:t>P</w:t>
      </w:r>
      <w:r w:rsidR="00E77F7A" w:rsidRPr="0093710B">
        <w:t>)</w:t>
      </w:r>
      <w:r w:rsidRPr="0093710B">
        <w:t xml:space="preserve"> have de</w:t>
      </w:r>
      <w:r w:rsidR="000A4983" w:rsidRPr="0093710B">
        <w:t xml:space="preserve">veloped </w:t>
      </w:r>
      <w:r w:rsidRPr="0093710B">
        <w:t xml:space="preserve">this </w:t>
      </w:r>
      <w:r w:rsidR="00E672E5">
        <w:t>External Portfolio</w:t>
      </w:r>
      <w:r w:rsidR="00A67999" w:rsidRPr="0093710B">
        <w:t xml:space="preserve"> </w:t>
      </w:r>
      <w:r w:rsidR="00080B09">
        <w:t>M</w:t>
      </w:r>
      <w:r w:rsidR="00080B09" w:rsidRPr="0093710B">
        <w:t>anage</w:t>
      </w:r>
      <w:r w:rsidR="00E672E5">
        <w:t>r</w:t>
      </w:r>
      <w:r w:rsidR="00080B09" w:rsidRPr="0093710B">
        <w:t xml:space="preserve"> </w:t>
      </w:r>
      <w:r w:rsidR="00080B09">
        <w:t>F</w:t>
      </w:r>
      <w:r w:rsidR="00080B09" w:rsidRPr="0093710B">
        <w:t xml:space="preserve">ee </w:t>
      </w:r>
      <w:r w:rsidR="00080B09">
        <w:t>P</w:t>
      </w:r>
      <w:r w:rsidR="00080B09" w:rsidRPr="0093710B">
        <w:t>olicy</w:t>
      </w:r>
      <w:r w:rsidRPr="0093710B">
        <w:t>.</w:t>
      </w:r>
      <w:r>
        <w:t xml:space="preserve">  </w:t>
      </w:r>
    </w:p>
    <w:p w14:paraId="1A5EB806" w14:textId="77777777" w:rsidR="00966D1A" w:rsidRDefault="00966D1A" w:rsidP="00052F31">
      <w:pPr>
        <w:jc w:val="both"/>
      </w:pPr>
    </w:p>
    <w:p w14:paraId="3EC68D28" w14:textId="77777777" w:rsidR="00052F31" w:rsidRPr="00D40DD5" w:rsidRDefault="00E77F7A" w:rsidP="00052F31">
      <w:pPr>
        <w:rPr>
          <w:b/>
        </w:rPr>
      </w:pPr>
      <w:r w:rsidRPr="00D40DD5">
        <w:rPr>
          <w:b/>
        </w:rPr>
        <w:t>Purpose</w:t>
      </w:r>
      <w:r w:rsidR="00052F31" w:rsidRPr="00D40DD5">
        <w:rPr>
          <w:b/>
        </w:rPr>
        <w:t xml:space="preserve"> </w:t>
      </w:r>
    </w:p>
    <w:p w14:paraId="6221FC3D" w14:textId="77777777" w:rsidR="00E77F7A" w:rsidRPr="00D40DD5" w:rsidRDefault="00E77F7A" w:rsidP="00052F31"/>
    <w:p w14:paraId="4CD69FA7" w14:textId="1839E569" w:rsidR="00052F31" w:rsidRPr="00D40DD5" w:rsidRDefault="00052F31" w:rsidP="00C353C1">
      <w:pPr>
        <w:spacing w:after="120"/>
      </w:pPr>
      <w:r w:rsidRPr="00D40DD5">
        <w:t xml:space="preserve">The purpose of the </w:t>
      </w:r>
      <w:r w:rsidR="00E672E5">
        <w:t>p</w:t>
      </w:r>
      <w:r w:rsidR="00080B09" w:rsidRPr="00D40DD5">
        <w:t xml:space="preserve">olicy </w:t>
      </w:r>
      <w:r w:rsidRPr="00D40DD5">
        <w:t xml:space="preserve">is: </w:t>
      </w:r>
    </w:p>
    <w:p w14:paraId="60B7AE4C" w14:textId="77777777" w:rsidR="00E77F7A" w:rsidRPr="00D40DD5" w:rsidRDefault="00052F31" w:rsidP="00C353C1">
      <w:pPr>
        <w:pStyle w:val="ListParagraph"/>
        <w:numPr>
          <w:ilvl w:val="0"/>
          <w:numId w:val="5"/>
        </w:numPr>
        <w:spacing w:after="120"/>
        <w:contextualSpacing w:val="0"/>
        <w:jc w:val="both"/>
      </w:pPr>
      <w:r w:rsidRPr="00D40DD5">
        <w:t xml:space="preserve">To </w:t>
      </w:r>
      <w:r w:rsidR="00E77F7A" w:rsidRPr="00D40DD5">
        <w:t xml:space="preserve">define </w:t>
      </w:r>
      <w:bookmarkStart w:id="0" w:name="_GoBack"/>
      <w:bookmarkEnd w:id="0"/>
      <w:r w:rsidR="00E77F7A" w:rsidRPr="00D40DD5">
        <w:t xml:space="preserve">the different </w:t>
      </w:r>
      <w:r w:rsidR="00001D10">
        <w:t>variables</w:t>
      </w:r>
      <w:r w:rsidR="00E77F7A" w:rsidRPr="00D40DD5">
        <w:t xml:space="preserve"> of an investment management fee structure</w:t>
      </w:r>
    </w:p>
    <w:p w14:paraId="01A67148" w14:textId="77777777" w:rsidR="00E77F7A" w:rsidRDefault="00E77F7A" w:rsidP="00C353C1">
      <w:pPr>
        <w:pStyle w:val="ListParagraph"/>
        <w:numPr>
          <w:ilvl w:val="0"/>
          <w:numId w:val="5"/>
        </w:numPr>
        <w:spacing w:after="120"/>
        <w:contextualSpacing w:val="0"/>
        <w:jc w:val="both"/>
      </w:pPr>
      <w:r w:rsidRPr="00D40DD5">
        <w:t>To describe the elements of a good investment management fee structure</w:t>
      </w:r>
    </w:p>
    <w:p w14:paraId="69547833" w14:textId="6FAABC5F" w:rsidR="00613EE9" w:rsidRPr="00D40DD5" w:rsidRDefault="00613EE9" w:rsidP="00C353C1">
      <w:pPr>
        <w:pStyle w:val="ListParagraph"/>
        <w:numPr>
          <w:ilvl w:val="0"/>
          <w:numId w:val="5"/>
        </w:numPr>
        <w:spacing w:after="120"/>
        <w:contextualSpacing w:val="0"/>
        <w:jc w:val="both"/>
      </w:pPr>
      <w:r>
        <w:t>To describe the approval process for a</w:t>
      </w:r>
      <w:r w:rsidR="00134025">
        <w:t>n investment management</w:t>
      </w:r>
      <w:r>
        <w:t xml:space="preserve"> fee structure with a</w:t>
      </w:r>
      <w:r w:rsidR="00A774DA">
        <w:t>n</w:t>
      </w:r>
      <w:r>
        <w:t xml:space="preserve"> </w:t>
      </w:r>
      <w:r w:rsidR="00A774DA">
        <w:t>External Portfolio M</w:t>
      </w:r>
      <w:r>
        <w:t>anager</w:t>
      </w:r>
    </w:p>
    <w:p w14:paraId="68941A56" w14:textId="77777777" w:rsidR="00052F31" w:rsidRPr="00D40DD5" w:rsidRDefault="00A61347" w:rsidP="00C353C1">
      <w:pPr>
        <w:pStyle w:val="ListParagraph"/>
        <w:numPr>
          <w:ilvl w:val="0"/>
          <w:numId w:val="5"/>
        </w:numPr>
        <w:spacing w:after="120"/>
        <w:contextualSpacing w:val="0"/>
        <w:jc w:val="both"/>
      </w:pPr>
      <w:r w:rsidRPr="00D40DD5">
        <w:t xml:space="preserve">To establish a </w:t>
      </w:r>
      <w:r w:rsidR="00B64EB9">
        <w:t>process</w:t>
      </w:r>
      <w:r w:rsidRPr="00D40DD5">
        <w:t xml:space="preserve"> for the</w:t>
      </w:r>
      <w:r w:rsidR="00001D10">
        <w:t xml:space="preserve"> </w:t>
      </w:r>
      <w:r w:rsidRPr="00D40DD5">
        <w:t>reporting</w:t>
      </w:r>
      <w:r w:rsidR="00001D10">
        <w:t>,</w:t>
      </w:r>
      <w:r w:rsidRPr="00D40DD5">
        <w:t xml:space="preserve"> disclosure</w:t>
      </w:r>
      <w:r w:rsidR="00CF3937">
        <w:t>, and review</w:t>
      </w:r>
      <w:r w:rsidRPr="00D40DD5">
        <w:t xml:space="preserve"> of investment management fees.</w:t>
      </w:r>
      <w:r w:rsidR="00052F31" w:rsidRPr="00D40DD5">
        <w:t xml:space="preserve">  </w:t>
      </w:r>
    </w:p>
    <w:p w14:paraId="14C34A6F" w14:textId="77777777" w:rsidR="00A61347" w:rsidRPr="00D40DD5" w:rsidRDefault="00A61347" w:rsidP="00052F31">
      <w:pPr>
        <w:rPr>
          <w:b/>
        </w:rPr>
      </w:pPr>
    </w:p>
    <w:p w14:paraId="230B3B19" w14:textId="77777777" w:rsidR="00052F31" w:rsidRPr="00D40DD5" w:rsidRDefault="00A61347" w:rsidP="00052F31">
      <w:pPr>
        <w:rPr>
          <w:b/>
        </w:rPr>
      </w:pPr>
      <w:r w:rsidRPr="00D40DD5">
        <w:rPr>
          <w:b/>
        </w:rPr>
        <w:t>Scope</w:t>
      </w:r>
    </w:p>
    <w:p w14:paraId="00E6FF75" w14:textId="77777777" w:rsidR="00A61347" w:rsidRPr="00D40DD5" w:rsidRDefault="00A61347" w:rsidP="00052F31">
      <w:pPr>
        <w:rPr>
          <w:b/>
        </w:rPr>
      </w:pPr>
    </w:p>
    <w:p w14:paraId="38E2E905" w14:textId="799E4AF4" w:rsidR="00A61347" w:rsidRPr="00D40DD5" w:rsidRDefault="00A61347" w:rsidP="00527423">
      <w:pPr>
        <w:spacing w:after="120"/>
      </w:pPr>
      <w:r w:rsidRPr="00D40DD5">
        <w:t xml:space="preserve">This policy </w:t>
      </w:r>
      <w:r w:rsidR="00D40DD5" w:rsidRPr="00D40DD5">
        <w:t>applies</w:t>
      </w:r>
      <w:r w:rsidRPr="00D40DD5">
        <w:t xml:space="preserve"> to </w:t>
      </w:r>
      <w:r w:rsidR="001F7703">
        <w:t>E</w:t>
      </w:r>
      <w:r w:rsidRPr="00D40DD5">
        <w:t xml:space="preserve">xternal </w:t>
      </w:r>
      <w:r w:rsidR="001F7703">
        <w:t>Portfolio M</w:t>
      </w:r>
      <w:r w:rsidRPr="00D40DD5">
        <w:t xml:space="preserve">anagers in </w:t>
      </w:r>
      <w:r w:rsidR="00FA1F60">
        <w:t xml:space="preserve">both </w:t>
      </w:r>
      <w:r w:rsidRPr="00D40DD5">
        <w:t>Traditional Investments and Non-Traditional Investments.</w:t>
      </w:r>
    </w:p>
    <w:p w14:paraId="74124386" w14:textId="77777777" w:rsidR="00001D10" w:rsidRPr="00D40DD5" w:rsidRDefault="00001D10" w:rsidP="00052F31">
      <w:pPr>
        <w:rPr>
          <w:b/>
        </w:rPr>
      </w:pPr>
    </w:p>
    <w:p w14:paraId="7BB567C2" w14:textId="77777777" w:rsidR="00052F31" w:rsidRPr="00D40DD5" w:rsidRDefault="00A61347" w:rsidP="00052F31">
      <w:pPr>
        <w:rPr>
          <w:b/>
        </w:rPr>
      </w:pPr>
      <w:r w:rsidRPr="00D40DD5">
        <w:rPr>
          <w:b/>
        </w:rPr>
        <w:t>Roles and Responsibilities</w:t>
      </w:r>
    </w:p>
    <w:p w14:paraId="795A75E2" w14:textId="77777777" w:rsidR="00A61347" w:rsidRPr="00D40DD5" w:rsidRDefault="00A61347" w:rsidP="00052F31">
      <w:pPr>
        <w:rPr>
          <w:b/>
        </w:rPr>
      </w:pPr>
    </w:p>
    <w:p w14:paraId="1E695B69" w14:textId="352048EF" w:rsidR="00117122" w:rsidRPr="00117122" w:rsidRDefault="00A61347" w:rsidP="00117122">
      <w:pPr>
        <w:pStyle w:val="ListParagraph"/>
        <w:numPr>
          <w:ilvl w:val="0"/>
          <w:numId w:val="17"/>
        </w:numPr>
        <w:spacing w:after="120"/>
        <w:contextualSpacing w:val="0"/>
      </w:pPr>
      <w:r w:rsidRPr="00117122">
        <w:rPr>
          <w:u w:val="single"/>
        </w:rPr>
        <w:t>Allocation Implementation Committee (AIC</w:t>
      </w:r>
      <w:proofErr w:type="gramStart"/>
      <w:r w:rsidR="00E672E5">
        <w:rPr>
          <w:u w:val="single"/>
        </w:rPr>
        <w:t>)(</w:t>
      </w:r>
      <w:proofErr w:type="gramEnd"/>
      <w:r w:rsidR="005B6886">
        <w:rPr>
          <w:u w:val="single"/>
        </w:rPr>
        <w:t>Staff Level</w:t>
      </w:r>
      <w:r w:rsidRPr="00117122">
        <w:rPr>
          <w:u w:val="single"/>
        </w:rPr>
        <w:t>)</w:t>
      </w:r>
      <w:r w:rsidR="00B935AE" w:rsidRPr="00B935AE">
        <w:t xml:space="preserve"> </w:t>
      </w:r>
      <w:r w:rsidR="00B935AE">
        <w:t>–</w:t>
      </w:r>
      <w:r w:rsidR="007A6D4F">
        <w:t xml:space="preserve"> (1) Develops overall fee goals and objectives for PSERS. (2) Reviews the annual investment management fee report (described below in the </w:t>
      </w:r>
      <w:r w:rsidR="007A6D4F" w:rsidRPr="00E672E5">
        <w:rPr>
          <w:i/>
        </w:rPr>
        <w:t>Reporting, Disclosure, and Review</w:t>
      </w:r>
      <w:r w:rsidR="007A6D4F">
        <w:rPr>
          <w:b/>
        </w:rPr>
        <w:t xml:space="preserve"> </w:t>
      </w:r>
      <w:r w:rsidR="007A6D4F" w:rsidRPr="00117122">
        <w:t>section).</w:t>
      </w:r>
      <w:r w:rsidR="007A6D4F">
        <w:t xml:space="preserve"> (3) </w:t>
      </w:r>
      <w:r w:rsidRPr="00BD0E98">
        <w:t xml:space="preserve">Approves </w:t>
      </w:r>
      <w:r w:rsidR="00B935AE">
        <w:t xml:space="preserve">the investment management fee structure for a </w:t>
      </w:r>
      <w:r w:rsidR="00E672E5">
        <w:t>n</w:t>
      </w:r>
      <w:r w:rsidR="00B935AE">
        <w:t xml:space="preserve">ew </w:t>
      </w:r>
      <w:r w:rsidR="00CE77A8">
        <w:t>E</w:t>
      </w:r>
      <w:r w:rsidR="00B935AE">
        <w:t xml:space="preserve">xternal </w:t>
      </w:r>
      <w:r w:rsidR="00E672E5">
        <w:t xml:space="preserve">Portfolio </w:t>
      </w:r>
      <w:r w:rsidR="00CE77A8">
        <w:t>M</w:t>
      </w:r>
      <w:r w:rsidR="00B935AE">
        <w:t>anager</w:t>
      </w:r>
      <w:r w:rsidR="00B260F4">
        <w:t xml:space="preserve"> mandate</w:t>
      </w:r>
      <w:r w:rsidR="00B935AE">
        <w:t xml:space="preserve"> as part of its </w:t>
      </w:r>
      <w:r w:rsidR="00AE3EE0">
        <w:t xml:space="preserve">overall </w:t>
      </w:r>
      <w:r w:rsidR="00B935AE">
        <w:t>approval of that manager</w:t>
      </w:r>
      <w:r w:rsidR="00B260F4">
        <w:t xml:space="preserve"> or mandate</w:t>
      </w:r>
      <w:r w:rsidR="007A6D4F">
        <w:t>. T</w:t>
      </w:r>
      <w:r w:rsidR="0093710B">
        <w:t xml:space="preserve">he AIC’s approval </w:t>
      </w:r>
      <w:r w:rsidR="005B6886">
        <w:t>is referred to the CIO, who may forward to the</w:t>
      </w:r>
      <w:r w:rsidR="0093710B">
        <w:t xml:space="preserve"> Investment Committee for</w:t>
      </w:r>
      <w:r w:rsidR="008C243D">
        <w:t xml:space="preserve"> review and</w:t>
      </w:r>
      <w:r w:rsidR="0093710B">
        <w:t xml:space="preserve"> </w:t>
      </w:r>
      <w:r w:rsidR="008C243D">
        <w:t>then the Board for approval</w:t>
      </w:r>
      <w:r w:rsidR="0093710B">
        <w:t>.</w:t>
      </w:r>
      <w:r w:rsidR="00A15953">
        <w:t xml:space="preserve"> </w:t>
      </w:r>
      <w:r w:rsidR="007A6D4F">
        <w:t xml:space="preserve"> (4) Approves changes to the investment management fee structures of current External Portfolio Manager mandates. These changes may be desired as IOP re-underwrites a manager, establishes additional mandates with a manager, increases the mandate, or some other reason.  The Board does not require that these changes be approved by them. However, material changes are disclosed to the Investment Committee in </w:t>
      </w:r>
      <w:r w:rsidR="00CE77A8">
        <w:t>the</w:t>
      </w:r>
      <w:r w:rsidR="007A6D4F">
        <w:t xml:space="preserve"> annual </w:t>
      </w:r>
      <w:r w:rsidR="00CE77A8">
        <w:t xml:space="preserve">investment management </w:t>
      </w:r>
      <w:r w:rsidR="007A6D4F">
        <w:t>fee report.</w:t>
      </w:r>
    </w:p>
    <w:p w14:paraId="3CD454AC" w14:textId="44BECF78" w:rsidR="0093710B" w:rsidRPr="007A6D4F" w:rsidRDefault="00FA1F60" w:rsidP="007A6D4F">
      <w:pPr>
        <w:pStyle w:val="ListParagraph"/>
        <w:numPr>
          <w:ilvl w:val="0"/>
          <w:numId w:val="4"/>
        </w:numPr>
        <w:spacing w:after="120"/>
        <w:contextualSpacing w:val="0"/>
        <w:jc w:val="both"/>
        <w:rPr>
          <w:b/>
          <w:u w:val="single"/>
        </w:rPr>
      </w:pPr>
      <w:r w:rsidRPr="007A6D4F">
        <w:rPr>
          <w:u w:val="single"/>
        </w:rPr>
        <w:t xml:space="preserve">Investment </w:t>
      </w:r>
      <w:r w:rsidR="00D40DD5" w:rsidRPr="007A6D4F">
        <w:rPr>
          <w:u w:val="single"/>
        </w:rPr>
        <w:t>Consultants</w:t>
      </w:r>
      <w:r w:rsidR="00D40DD5">
        <w:t xml:space="preserve"> – Provide guidance to the AIC as to how fee structures are evolving </w:t>
      </w:r>
      <w:r w:rsidR="00001D10">
        <w:t xml:space="preserve">in general, </w:t>
      </w:r>
      <w:r w:rsidR="00D40DD5">
        <w:t xml:space="preserve">and in particular whether a specific structure for a manager is consistent with prevailing market standards.  </w:t>
      </w:r>
    </w:p>
    <w:p w14:paraId="38C12779" w14:textId="09068C45" w:rsidR="008C243D" w:rsidRPr="008C243D" w:rsidRDefault="0093710B" w:rsidP="00C353C1">
      <w:pPr>
        <w:pStyle w:val="ListParagraph"/>
        <w:numPr>
          <w:ilvl w:val="0"/>
          <w:numId w:val="4"/>
        </w:numPr>
        <w:spacing w:after="120"/>
        <w:contextualSpacing w:val="0"/>
        <w:jc w:val="both"/>
        <w:rPr>
          <w:b/>
          <w:u w:val="single"/>
        </w:rPr>
      </w:pPr>
      <w:r>
        <w:rPr>
          <w:u w:val="single"/>
        </w:rPr>
        <w:t xml:space="preserve">Investment Committee </w:t>
      </w:r>
      <w:r w:rsidR="00492972">
        <w:rPr>
          <w:u w:val="single"/>
        </w:rPr>
        <w:t>(</w:t>
      </w:r>
      <w:r>
        <w:rPr>
          <w:u w:val="single"/>
        </w:rPr>
        <w:t>Board</w:t>
      </w:r>
      <w:r w:rsidR="00492972">
        <w:rPr>
          <w:u w:val="single"/>
        </w:rPr>
        <w:t xml:space="preserve"> Level)</w:t>
      </w:r>
      <w:r w:rsidRPr="00DB6977">
        <w:t xml:space="preserve"> </w:t>
      </w:r>
      <w:r>
        <w:t xml:space="preserve">– </w:t>
      </w:r>
      <w:r w:rsidR="008C243D">
        <w:t>Reviews</w:t>
      </w:r>
      <w:r>
        <w:t xml:space="preserve"> the fee structure for a new </w:t>
      </w:r>
      <w:r w:rsidR="00492972">
        <w:t>E</w:t>
      </w:r>
      <w:r>
        <w:t>xternal</w:t>
      </w:r>
      <w:r w:rsidR="00492972">
        <w:t xml:space="preserve"> Portfolio M</w:t>
      </w:r>
      <w:r>
        <w:t>anager</w:t>
      </w:r>
      <w:r w:rsidR="00CE77A8">
        <w:t xml:space="preserve"> </w:t>
      </w:r>
      <w:r w:rsidR="00117122">
        <w:t>mandate</w:t>
      </w:r>
      <w:r>
        <w:t xml:space="preserve"> through its</w:t>
      </w:r>
      <w:r w:rsidR="00134025">
        <w:t xml:space="preserve"> </w:t>
      </w:r>
      <w:r w:rsidR="00AE3EE0">
        <w:t xml:space="preserve">overall </w:t>
      </w:r>
      <w:r w:rsidR="008C243D">
        <w:t>review</w:t>
      </w:r>
      <w:r>
        <w:t xml:space="preserve"> of that </w:t>
      </w:r>
      <w:r w:rsidR="00117122">
        <w:t>mandate</w:t>
      </w:r>
      <w:r>
        <w:t xml:space="preserve">. </w:t>
      </w:r>
      <w:r w:rsidR="00A15953">
        <w:t>The Committee also r</w:t>
      </w:r>
      <w:r>
        <w:t xml:space="preserve">eceives the annual investment </w:t>
      </w:r>
      <w:r w:rsidR="00A15953">
        <w:t xml:space="preserve">management </w:t>
      </w:r>
      <w:r>
        <w:t>fee report from IO</w:t>
      </w:r>
      <w:r w:rsidR="006B1E24">
        <w:t>P</w:t>
      </w:r>
      <w:r>
        <w:t xml:space="preserve">.   </w:t>
      </w:r>
      <w:r w:rsidR="00D40DD5">
        <w:t xml:space="preserve">  </w:t>
      </w:r>
    </w:p>
    <w:p w14:paraId="65141064" w14:textId="384D0CB9" w:rsidR="008C243D" w:rsidRPr="006E194F" w:rsidRDefault="008C243D" w:rsidP="008C243D">
      <w:pPr>
        <w:pStyle w:val="ListParagraph"/>
        <w:numPr>
          <w:ilvl w:val="0"/>
          <w:numId w:val="4"/>
        </w:numPr>
        <w:spacing w:after="120"/>
        <w:contextualSpacing w:val="0"/>
        <w:jc w:val="both"/>
        <w:rPr>
          <w:b/>
          <w:u w:val="single"/>
        </w:rPr>
      </w:pPr>
      <w:r>
        <w:rPr>
          <w:u w:val="single"/>
        </w:rPr>
        <w:t>The Board</w:t>
      </w:r>
      <w:r w:rsidRPr="00DB6977">
        <w:t xml:space="preserve"> </w:t>
      </w:r>
      <w:r>
        <w:t xml:space="preserve">– Approves the fee structure for a new </w:t>
      </w:r>
      <w:r w:rsidR="00492972">
        <w:t>E</w:t>
      </w:r>
      <w:r>
        <w:t>xternal</w:t>
      </w:r>
      <w:r w:rsidR="00492972">
        <w:t xml:space="preserve"> Portfolio</w:t>
      </w:r>
      <w:r>
        <w:t xml:space="preserve"> </w:t>
      </w:r>
      <w:r w:rsidR="00492972">
        <w:t>M</w:t>
      </w:r>
      <w:r>
        <w:t xml:space="preserve">anager mandate through its overall approval of that mandate.           </w:t>
      </w:r>
    </w:p>
    <w:p w14:paraId="4DC5B873" w14:textId="77777777" w:rsidR="00C353C1" w:rsidRPr="008C243D" w:rsidRDefault="00D40DD5" w:rsidP="008C243D">
      <w:pPr>
        <w:spacing w:after="120"/>
        <w:ind w:left="360"/>
        <w:jc w:val="both"/>
        <w:rPr>
          <w:b/>
        </w:rPr>
      </w:pPr>
      <w:r>
        <w:lastRenderedPageBreak/>
        <w:t xml:space="preserve">     </w:t>
      </w:r>
    </w:p>
    <w:p w14:paraId="3541F1BD" w14:textId="77777777" w:rsidR="00D40DD5" w:rsidRPr="00D40DD5" w:rsidRDefault="00001D10" w:rsidP="00052F31">
      <w:pPr>
        <w:rPr>
          <w:b/>
        </w:rPr>
      </w:pPr>
      <w:r>
        <w:rPr>
          <w:b/>
        </w:rPr>
        <w:t>Variables</w:t>
      </w:r>
      <w:r w:rsidR="00D40DD5" w:rsidRPr="00D40DD5">
        <w:rPr>
          <w:b/>
        </w:rPr>
        <w:t xml:space="preserve"> of an Investment Management Fee Structure</w:t>
      </w:r>
    </w:p>
    <w:p w14:paraId="3DE3B0F5" w14:textId="77777777" w:rsidR="00D40DD5" w:rsidRDefault="00D40DD5" w:rsidP="00052F31">
      <w:pPr>
        <w:rPr>
          <w:b/>
          <w:u w:val="single"/>
        </w:rPr>
      </w:pPr>
    </w:p>
    <w:p w14:paraId="630883EA" w14:textId="7BA471A5" w:rsidR="0021672E" w:rsidRDefault="00F766A7" w:rsidP="004B38F0">
      <w:pPr>
        <w:pStyle w:val="ListParagraph"/>
        <w:numPr>
          <w:ilvl w:val="0"/>
          <w:numId w:val="6"/>
        </w:numPr>
        <w:spacing w:after="120"/>
        <w:contextualSpacing w:val="0"/>
        <w:jc w:val="both"/>
        <w:rPr>
          <w:u w:val="single"/>
        </w:rPr>
      </w:pPr>
      <w:r>
        <w:rPr>
          <w:u w:val="single"/>
        </w:rPr>
        <w:t xml:space="preserve">Base </w:t>
      </w:r>
      <w:r w:rsidR="006F72CC">
        <w:rPr>
          <w:u w:val="single"/>
        </w:rPr>
        <w:t>Fee</w:t>
      </w:r>
      <w:r w:rsidR="006F72CC" w:rsidRPr="0021672E">
        <w:t xml:space="preserve"> </w:t>
      </w:r>
      <w:r w:rsidRPr="0021672E">
        <w:t xml:space="preserve">– </w:t>
      </w:r>
      <w:r w:rsidR="0021672E" w:rsidRPr="0021672E">
        <w:t>Pr</w:t>
      </w:r>
      <w:r w:rsidRPr="0021672E">
        <w:t>ovide</w:t>
      </w:r>
      <w:r w:rsidR="0021672E" w:rsidRPr="0021672E">
        <w:t>s</w:t>
      </w:r>
      <w:r w:rsidRPr="0021672E">
        <w:t xml:space="preserve"> the </w:t>
      </w:r>
      <w:r w:rsidR="00E23EE9">
        <w:t>External Portfolio M</w:t>
      </w:r>
      <w:r w:rsidRPr="0021672E">
        <w:t>anager sufficient revenue to cover</w:t>
      </w:r>
      <w:r w:rsidR="0021672E" w:rsidRPr="0021672E">
        <w:t xml:space="preserve"> the cost of</w:t>
      </w:r>
      <w:r w:rsidRPr="0021672E">
        <w:t xml:space="preserve"> its operations</w:t>
      </w:r>
      <w:r w:rsidR="0021672E">
        <w:t xml:space="preserve">. It is typically calculated as a percentage of </w:t>
      </w:r>
      <w:r w:rsidR="008E73B9">
        <w:t xml:space="preserve">assets under management (AUM) for Traditional Investments and as a percentage of </w:t>
      </w:r>
      <w:r w:rsidR="00665291">
        <w:t>either invested capital or committed capital</w:t>
      </w:r>
      <w:r w:rsidR="008E73B9">
        <w:t xml:space="preserve"> for Non-Traditional Investments</w:t>
      </w:r>
      <w:r w:rsidR="004F3163">
        <w:t>.</w:t>
      </w:r>
      <w:r w:rsidR="008E73B9">
        <w:t xml:space="preserve">  The </w:t>
      </w:r>
      <w:r w:rsidR="006F72CC">
        <w:t>Base Fee</w:t>
      </w:r>
      <w:r w:rsidR="00207ED9">
        <w:t xml:space="preserve"> (also known as a management fee</w:t>
      </w:r>
      <w:r w:rsidR="003541F6">
        <w:t xml:space="preserve"> or a fixed fee</w:t>
      </w:r>
      <w:r w:rsidR="00207ED9">
        <w:t>)</w:t>
      </w:r>
      <w:r w:rsidR="006F72CC">
        <w:t xml:space="preserve"> </w:t>
      </w:r>
      <w:r w:rsidR="008E73B9">
        <w:t xml:space="preserve">is often tiered, where incremental </w:t>
      </w:r>
      <w:r w:rsidR="00134025">
        <w:t xml:space="preserve">additional </w:t>
      </w:r>
      <w:r w:rsidR="008E73B9">
        <w:t xml:space="preserve">investments are charged a </w:t>
      </w:r>
      <w:r w:rsidR="00134025">
        <w:t xml:space="preserve">progressively </w:t>
      </w:r>
      <w:r w:rsidR="008E73B9">
        <w:t xml:space="preserve">lower </w:t>
      </w:r>
      <w:r w:rsidR="00F322B8">
        <w:t>amount</w:t>
      </w:r>
      <w:r w:rsidR="008E73B9">
        <w:t>.</w:t>
      </w:r>
    </w:p>
    <w:p w14:paraId="58B98AD6" w14:textId="2ECCEEDA" w:rsidR="0021672E" w:rsidRDefault="0021672E" w:rsidP="004B38F0">
      <w:pPr>
        <w:pStyle w:val="ListParagraph"/>
        <w:numPr>
          <w:ilvl w:val="0"/>
          <w:numId w:val="6"/>
        </w:numPr>
        <w:spacing w:after="120"/>
        <w:contextualSpacing w:val="0"/>
        <w:jc w:val="both"/>
        <w:rPr>
          <w:u w:val="single"/>
        </w:rPr>
      </w:pPr>
      <w:r>
        <w:rPr>
          <w:u w:val="single"/>
        </w:rPr>
        <w:t xml:space="preserve">Profit </w:t>
      </w:r>
      <w:r w:rsidR="006F72CC">
        <w:rPr>
          <w:u w:val="single"/>
        </w:rPr>
        <w:t>Share</w:t>
      </w:r>
      <w:r w:rsidR="006F72CC" w:rsidRPr="0021672E">
        <w:t xml:space="preserve"> </w:t>
      </w:r>
      <w:r w:rsidRPr="0021672E">
        <w:t xml:space="preserve">– </w:t>
      </w:r>
      <w:r w:rsidR="009F3BE1">
        <w:t xml:space="preserve"> </w:t>
      </w:r>
      <w:r w:rsidR="00E672E5">
        <w:t>C</w:t>
      </w:r>
      <w:r w:rsidR="009F3BE1">
        <w:t xml:space="preserve">ompensation earned by the </w:t>
      </w:r>
      <w:r w:rsidR="00E23EE9">
        <w:t>External Portfolio M</w:t>
      </w:r>
      <w:r w:rsidR="009F3BE1">
        <w:t>anager for outperforming</w:t>
      </w:r>
      <w:r w:rsidRPr="0021672E">
        <w:t xml:space="preserve"> the benchmark established by PSERS for that manager; it is the reward for skill</w:t>
      </w:r>
      <w:r w:rsidR="00B64EB9">
        <w:t>ed outperformance</w:t>
      </w:r>
      <w:r w:rsidRPr="0021672E">
        <w:t xml:space="preserve"> and </w:t>
      </w:r>
      <w:r w:rsidR="00DB5B87">
        <w:t>appropriate</w:t>
      </w:r>
      <w:r w:rsidR="00DB5B87" w:rsidRPr="0021672E">
        <w:t xml:space="preserve"> </w:t>
      </w:r>
      <w:r w:rsidRPr="0021672E">
        <w:t xml:space="preserve">risk </w:t>
      </w:r>
      <w:r w:rsidR="00DB5B87">
        <w:t>management</w:t>
      </w:r>
      <w:r w:rsidRPr="0021672E">
        <w:t>.</w:t>
      </w:r>
      <w:r>
        <w:t xml:space="preserve">  It is typically </w:t>
      </w:r>
      <w:r w:rsidR="00487923">
        <w:t>defin</w:t>
      </w:r>
      <w:r>
        <w:t xml:space="preserve">ed as </w:t>
      </w:r>
      <w:r w:rsidR="00B64EB9">
        <w:t>a percentage of the outperformance</w:t>
      </w:r>
      <w:r>
        <w:t xml:space="preserve">.  </w:t>
      </w:r>
      <w:r w:rsidR="004F3163">
        <w:t xml:space="preserve">Also known as </w:t>
      </w:r>
      <w:r w:rsidR="00FA1F60">
        <w:t>p</w:t>
      </w:r>
      <w:r w:rsidR="004F3163">
        <w:t xml:space="preserve">erformance </w:t>
      </w:r>
      <w:r w:rsidR="00FA1F60">
        <w:t>f</w:t>
      </w:r>
      <w:r w:rsidR="004F3163">
        <w:t>ee</w:t>
      </w:r>
      <w:r w:rsidR="00527423">
        <w:t>,</w:t>
      </w:r>
      <w:r w:rsidR="004F3163">
        <w:t xml:space="preserve"> </w:t>
      </w:r>
      <w:r w:rsidR="00FA1F60">
        <w:t>i</w:t>
      </w:r>
      <w:r w:rsidR="004F3163">
        <w:t xml:space="preserve">ncentive </w:t>
      </w:r>
      <w:r w:rsidR="00FA1F60">
        <w:t>f</w:t>
      </w:r>
      <w:r w:rsidR="004F3163">
        <w:t>ee</w:t>
      </w:r>
      <w:r w:rsidR="00527423">
        <w:t>,</w:t>
      </w:r>
      <w:r w:rsidR="004F3163">
        <w:t xml:space="preserve"> </w:t>
      </w:r>
      <w:r w:rsidR="00FA1F60">
        <w:t>c</w:t>
      </w:r>
      <w:r w:rsidR="004F3163">
        <w:t>arry</w:t>
      </w:r>
      <w:r w:rsidR="00527423">
        <w:t xml:space="preserve">, and </w:t>
      </w:r>
      <w:r w:rsidR="00FA1F60">
        <w:t>c</w:t>
      </w:r>
      <w:r w:rsidR="00527423">
        <w:t xml:space="preserve">arried </w:t>
      </w:r>
      <w:commentRangeStart w:id="1"/>
      <w:r w:rsidR="00FA1F60">
        <w:t>i</w:t>
      </w:r>
      <w:r w:rsidR="00527423">
        <w:t>nterest</w:t>
      </w:r>
      <w:commentRangeEnd w:id="1"/>
      <w:r w:rsidR="00863202">
        <w:rPr>
          <w:rStyle w:val="CommentReference"/>
        </w:rPr>
        <w:commentReference w:id="1"/>
      </w:r>
      <w:r w:rsidR="004F3163" w:rsidRPr="004F3163">
        <w:t>.</w:t>
      </w:r>
      <w:r w:rsidR="00863202">
        <w:t xml:space="preserve">  </w:t>
      </w:r>
      <w:r w:rsidR="00296635">
        <w:t xml:space="preserve"> </w:t>
      </w:r>
    </w:p>
    <w:p w14:paraId="611023FC" w14:textId="12B18745" w:rsidR="0021672E" w:rsidRPr="0021672E" w:rsidRDefault="0021672E" w:rsidP="004B38F0">
      <w:pPr>
        <w:pStyle w:val="ListParagraph"/>
        <w:numPr>
          <w:ilvl w:val="0"/>
          <w:numId w:val="6"/>
        </w:numPr>
        <w:spacing w:after="120"/>
        <w:contextualSpacing w:val="0"/>
        <w:jc w:val="both"/>
        <w:rPr>
          <w:u w:val="single"/>
        </w:rPr>
      </w:pPr>
      <w:r>
        <w:rPr>
          <w:u w:val="single"/>
        </w:rPr>
        <w:t xml:space="preserve">Hurdle </w:t>
      </w:r>
      <w:r w:rsidR="006F72CC">
        <w:rPr>
          <w:u w:val="single"/>
        </w:rPr>
        <w:t>Rate</w:t>
      </w:r>
      <w:r w:rsidR="006F72CC" w:rsidRPr="0021672E">
        <w:t xml:space="preserve"> </w:t>
      </w:r>
      <w:r w:rsidRPr="0021672E">
        <w:t xml:space="preserve">– </w:t>
      </w:r>
      <w:r w:rsidR="009F3BE1">
        <w:t>The minimum return</w:t>
      </w:r>
      <w:r w:rsidR="006F72CC">
        <w:t>, net of the Base Fee,</w:t>
      </w:r>
      <w:r w:rsidR="009F3BE1">
        <w:t xml:space="preserve"> needed before a</w:t>
      </w:r>
      <w:r w:rsidR="00E23EE9">
        <w:t xml:space="preserve">n External Portfolio </w:t>
      </w:r>
      <w:r w:rsidR="00F322B8">
        <w:t>M</w:t>
      </w:r>
      <w:r w:rsidR="009F3BE1">
        <w:t>anager can earn</w:t>
      </w:r>
      <w:r w:rsidRPr="0021672E">
        <w:t xml:space="preserve"> a </w:t>
      </w:r>
      <w:r w:rsidR="006B1E24">
        <w:t>P</w:t>
      </w:r>
      <w:r w:rsidRPr="0021672E">
        <w:t xml:space="preserve">rofit </w:t>
      </w:r>
      <w:r w:rsidR="006B1E24">
        <w:t>S</w:t>
      </w:r>
      <w:r w:rsidRPr="0021672E">
        <w:t xml:space="preserve">hare. The </w:t>
      </w:r>
      <w:r w:rsidR="006F72CC">
        <w:t>H</w:t>
      </w:r>
      <w:r w:rsidR="006F72CC" w:rsidRPr="0021672E">
        <w:t xml:space="preserve">urdle </w:t>
      </w:r>
      <w:r w:rsidR="006F72CC">
        <w:t>R</w:t>
      </w:r>
      <w:r w:rsidR="006F72CC" w:rsidRPr="0021672E">
        <w:t xml:space="preserve">ate </w:t>
      </w:r>
      <w:r w:rsidRPr="0021672E">
        <w:t>can</w:t>
      </w:r>
      <w:r w:rsidR="00B64EB9">
        <w:t xml:space="preserve"> be 0%, a fixed rate</w:t>
      </w:r>
      <w:r w:rsidRPr="0021672E">
        <w:t xml:space="preserve"> also known as a </w:t>
      </w:r>
      <w:r w:rsidR="00FA1F60">
        <w:t>p</w:t>
      </w:r>
      <w:r w:rsidRPr="0021672E">
        <w:t xml:space="preserve">referred </w:t>
      </w:r>
      <w:r w:rsidR="00FA1F60">
        <w:t>r</w:t>
      </w:r>
      <w:r w:rsidRPr="0021672E">
        <w:t>eturn</w:t>
      </w:r>
      <w:r w:rsidR="004F3163">
        <w:t xml:space="preserve"> </w:t>
      </w:r>
      <w:r w:rsidR="00487923">
        <w:t xml:space="preserve">(e.g., </w:t>
      </w:r>
      <w:r w:rsidR="004F3163">
        <w:t>8%</w:t>
      </w:r>
      <w:r w:rsidR="00487923">
        <w:t>)</w:t>
      </w:r>
      <w:r w:rsidR="00B64EB9">
        <w:t>, or a variable rate</w:t>
      </w:r>
      <w:r w:rsidRPr="0021672E">
        <w:t xml:space="preserve"> such as the return of a </w:t>
      </w:r>
      <w:r w:rsidR="00B64EB9">
        <w:t>b</w:t>
      </w:r>
      <w:r w:rsidRPr="0021672E">
        <w:t xml:space="preserve">enchmark </w:t>
      </w:r>
      <w:r w:rsidR="00487923">
        <w:t>(e.g., the</w:t>
      </w:r>
      <w:r w:rsidRPr="0021672E">
        <w:t xml:space="preserve"> S&amp;P 500</w:t>
      </w:r>
      <w:r w:rsidR="00487923">
        <w:t>)</w:t>
      </w:r>
      <w:r w:rsidRPr="0021672E">
        <w:t>.</w:t>
      </w:r>
      <w:r w:rsidR="000A4983">
        <w:t xml:space="preserve">  </w:t>
      </w:r>
      <w:r w:rsidR="00A15953">
        <w:t xml:space="preserve">The </w:t>
      </w:r>
      <w:r w:rsidR="006F72CC">
        <w:t xml:space="preserve">Hurdle Rate </w:t>
      </w:r>
      <w:r w:rsidR="00DB5B87">
        <w:t xml:space="preserve">may be </w:t>
      </w:r>
      <w:r w:rsidR="000A4983">
        <w:t xml:space="preserve">coupled with a </w:t>
      </w:r>
      <w:r w:rsidR="006F72CC">
        <w:t>Catch-</w:t>
      </w:r>
      <w:r w:rsidR="000A4983">
        <w:t xml:space="preserve">up provision. </w:t>
      </w:r>
    </w:p>
    <w:p w14:paraId="43415822" w14:textId="39E03C9A" w:rsidR="006B1E24" w:rsidRDefault="006B1E24" w:rsidP="004B38F0">
      <w:pPr>
        <w:pStyle w:val="ListParagraph"/>
        <w:numPr>
          <w:ilvl w:val="0"/>
          <w:numId w:val="11"/>
        </w:numPr>
        <w:spacing w:after="120"/>
        <w:contextualSpacing w:val="0"/>
        <w:jc w:val="both"/>
      </w:pPr>
      <w:r w:rsidRPr="006B1E24">
        <w:rPr>
          <w:u w:val="single"/>
        </w:rPr>
        <w:t>Catch-up</w:t>
      </w:r>
      <w:r>
        <w:t xml:space="preserve"> – </w:t>
      </w:r>
      <w:r w:rsidR="00AE3EE0">
        <w:t>The</w:t>
      </w:r>
      <w:r>
        <w:t xml:space="preserve"> period of time during which the </w:t>
      </w:r>
      <w:r w:rsidR="00F322B8">
        <w:t>External Portfolio M</w:t>
      </w:r>
      <w:r>
        <w:t xml:space="preserve">anager receives the majority or all of the profits until </w:t>
      </w:r>
      <w:r w:rsidR="003541F6">
        <w:t>the</w:t>
      </w:r>
      <w:r>
        <w:t xml:space="preserve"> Profit Share is reached.  Catch-up provisions can range from 0% to 100%.</w:t>
      </w:r>
      <w:r w:rsidR="00D8543E">
        <w:t xml:space="preserve"> </w:t>
      </w:r>
    </w:p>
    <w:p w14:paraId="3CDEE52C" w14:textId="452FF680" w:rsidR="004F3163" w:rsidRDefault="004F3163" w:rsidP="004B38F0">
      <w:pPr>
        <w:pStyle w:val="ListParagraph"/>
        <w:numPr>
          <w:ilvl w:val="0"/>
          <w:numId w:val="6"/>
        </w:numPr>
        <w:spacing w:after="120"/>
        <w:contextualSpacing w:val="0"/>
        <w:jc w:val="both"/>
      </w:pPr>
      <w:r w:rsidRPr="00117122">
        <w:rPr>
          <w:u w:val="single"/>
        </w:rPr>
        <w:t xml:space="preserve">Crystallization </w:t>
      </w:r>
      <w:r w:rsidR="00117122" w:rsidRPr="00117122">
        <w:rPr>
          <w:u w:val="single"/>
        </w:rPr>
        <w:t>F</w:t>
      </w:r>
      <w:r w:rsidRPr="00117122">
        <w:rPr>
          <w:u w:val="single"/>
        </w:rPr>
        <w:t>requency</w:t>
      </w:r>
      <w:r>
        <w:t xml:space="preserve"> – How often the </w:t>
      </w:r>
      <w:r w:rsidR="006F72CC">
        <w:t xml:space="preserve">Profit Share </w:t>
      </w:r>
      <w:r>
        <w:t xml:space="preserve">is paid out to the </w:t>
      </w:r>
      <w:r w:rsidR="00F322B8">
        <w:t>External Portfolio M</w:t>
      </w:r>
      <w:r>
        <w:t>anager.</w:t>
      </w:r>
      <w:r w:rsidR="00117122">
        <w:t xml:space="preserve"> In</w:t>
      </w:r>
      <w:r w:rsidR="00CE77A8">
        <w:t xml:space="preserve"> Non-Traditional Investments asset classes</w:t>
      </w:r>
      <w:r w:rsidR="00117122">
        <w:t xml:space="preserve">, </w:t>
      </w:r>
      <w:r w:rsidR="00CE77A8">
        <w:t xml:space="preserve">the </w:t>
      </w:r>
      <w:r w:rsidR="00117122">
        <w:t>Profit Share is paid either on a</w:t>
      </w:r>
      <w:r w:rsidR="004B38F0">
        <w:t>n</w:t>
      </w:r>
      <w:r w:rsidR="00117122">
        <w:t xml:space="preserve"> American basis (dea</w:t>
      </w:r>
      <w:r w:rsidR="00B16780">
        <w:t>l</w:t>
      </w:r>
      <w:r w:rsidR="00117122">
        <w:t xml:space="preserve">-by-deal) or a European basis (at the end of the fund’s life).  In other asset classes, </w:t>
      </w:r>
      <w:r w:rsidR="00CE77A8">
        <w:t>it is paid</w:t>
      </w:r>
      <w:r w:rsidR="00117122">
        <w:t xml:space="preserve"> </w:t>
      </w:r>
      <w:r w:rsidR="00487923">
        <w:t>typically</w:t>
      </w:r>
      <w:r w:rsidR="00117122">
        <w:t xml:space="preserve"> on a calendar </w:t>
      </w:r>
      <w:r w:rsidR="003541F6">
        <w:t xml:space="preserve">year </w:t>
      </w:r>
      <w:r w:rsidR="00117122">
        <w:t>basis (e.g., paid out every year).</w:t>
      </w:r>
    </w:p>
    <w:p w14:paraId="4E0A9423" w14:textId="547CAC23" w:rsidR="004F3163" w:rsidRPr="004F3163" w:rsidRDefault="004F3163" w:rsidP="004B38F0">
      <w:pPr>
        <w:pStyle w:val="ListParagraph"/>
        <w:numPr>
          <w:ilvl w:val="0"/>
          <w:numId w:val="6"/>
        </w:numPr>
        <w:spacing w:after="120"/>
        <w:contextualSpacing w:val="0"/>
        <w:jc w:val="both"/>
      </w:pPr>
      <w:r w:rsidRPr="004F3163">
        <w:rPr>
          <w:u w:val="single"/>
        </w:rPr>
        <w:t xml:space="preserve">High </w:t>
      </w:r>
      <w:r w:rsidR="006F72CC">
        <w:rPr>
          <w:u w:val="single"/>
        </w:rPr>
        <w:t>W</w:t>
      </w:r>
      <w:r w:rsidR="006F72CC" w:rsidRPr="004F3163">
        <w:rPr>
          <w:u w:val="single"/>
        </w:rPr>
        <w:t xml:space="preserve">ater </w:t>
      </w:r>
      <w:r w:rsidR="006F72CC">
        <w:rPr>
          <w:u w:val="single"/>
        </w:rPr>
        <w:t>M</w:t>
      </w:r>
      <w:r w:rsidR="006F72CC" w:rsidRPr="004F3163">
        <w:rPr>
          <w:u w:val="single"/>
        </w:rPr>
        <w:t>ark</w:t>
      </w:r>
      <w:r w:rsidR="006F72CC">
        <w:t xml:space="preserve"> </w:t>
      </w:r>
      <w:r w:rsidR="000A4983" w:rsidRPr="004F3163">
        <w:t>–</w:t>
      </w:r>
      <w:r>
        <w:t xml:space="preserve"> If a</w:t>
      </w:r>
      <w:r w:rsidR="00F322B8">
        <w:t>n</w:t>
      </w:r>
      <w:r>
        <w:t xml:space="preserve"> </w:t>
      </w:r>
      <w:r w:rsidR="00F322B8">
        <w:t>External Portfolio M</w:t>
      </w:r>
      <w:r>
        <w:t xml:space="preserve">anager has underperformed the </w:t>
      </w:r>
      <w:r w:rsidR="006F72CC">
        <w:t xml:space="preserve">Hurdle Rate </w:t>
      </w:r>
      <w:r>
        <w:t xml:space="preserve">in </w:t>
      </w:r>
      <w:r w:rsidR="00FA1F60">
        <w:t>a</w:t>
      </w:r>
      <w:r>
        <w:t xml:space="preserve"> previous period</w:t>
      </w:r>
      <w:r w:rsidR="00F322B8">
        <w:t xml:space="preserve"> (as provided in an applicable agreement)</w:t>
      </w:r>
      <w:r>
        <w:t xml:space="preserve">, the manager must first recover this amount before it is eligible to earn a </w:t>
      </w:r>
      <w:r w:rsidR="006B1E24">
        <w:t>P</w:t>
      </w:r>
      <w:r>
        <w:t xml:space="preserve">rofit </w:t>
      </w:r>
      <w:r w:rsidR="006B1E24">
        <w:t>S</w:t>
      </w:r>
      <w:r>
        <w:t xml:space="preserve">hare in </w:t>
      </w:r>
      <w:r w:rsidR="00FA1F60">
        <w:t>the</w:t>
      </w:r>
      <w:r>
        <w:t xml:space="preserve"> </w:t>
      </w:r>
      <w:r w:rsidR="00FA1F60">
        <w:t>subsequent</w:t>
      </w:r>
      <w:r>
        <w:t xml:space="preserve"> period.</w:t>
      </w:r>
      <w:r w:rsidR="00527423">
        <w:t xml:space="preserve">  In effect, </w:t>
      </w:r>
      <w:r w:rsidR="00B64EB9">
        <w:t>previous</w:t>
      </w:r>
      <w:r w:rsidR="00527423">
        <w:t xml:space="preserve"> underperformance creates a loss carryforward.</w:t>
      </w:r>
      <w:r w:rsidR="00D8543E">
        <w:t xml:space="preserve">  High water marks may be standard or modified.  Under a standard high water mark</w:t>
      </w:r>
      <w:r w:rsidR="00AE3EE0">
        <w:t>,</w:t>
      </w:r>
      <w:r w:rsidR="003541F6">
        <w:t xml:space="preserve"> </w:t>
      </w:r>
      <w:r w:rsidR="00F322B8">
        <w:t>Profit Share</w:t>
      </w:r>
      <w:r w:rsidR="00D8543E">
        <w:t xml:space="preserve"> is </w:t>
      </w:r>
      <w:r w:rsidR="003541F6">
        <w:t xml:space="preserve">not </w:t>
      </w:r>
      <w:r w:rsidR="00D8543E">
        <w:t>received until all underperformance has been recovered.</w:t>
      </w:r>
      <w:r w:rsidR="001115C4">
        <w:t xml:space="preserve">  Under a modified structure, </w:t>
      </w:r>
      <w:r w:rsidR="00F322B8">
        <w:t>Profit Share</w:t>
      </w:r>
      <w:r w:rsidR="001115C4">
        <w:t xml:space="preserve"> is paid at a reduced rate until all previous underperformance has been </w:t>
      </w:r>
      <w:commentRangeStart w:id="2"/>
      <w:r w:rsidR="001115C4">
        <w:t>recovered</w:t>
      </w:r>
      <w:commentRangeEnd w:id="2"/>
      <w:r w:rsidR="001115C4">
        <w:rPr>
          <w:rStyle w:val="CommentReference"/>
        </w:rPr>
        <w:commentReference w:id="2"/>
      </w:r>
      <w:r w:rsidR="001115C4">
        <w:t xml:space="preserve">.  </w:t>
      </w:r>
      <w:r w:rsidR="00D8543E">
        <w:t xml:space="preserve">  </w:t>
      </w:r>
    </w:p>
    <w:p w14:paraId="06E1E3AD" w14:textId="4D830EEE" w:rsidR="004F3163" w:rsidRDefault="00F322B8" w:rsidP="004B38F0">
      <w:pPr>
        <w:pStyle w:val="ListParagraph"/>
        <w:numPr>
          <w:ilvl w:val="0"/>
          <w:numId w:val="6"/>
        </w:numPr>
        <w:spacing w:after="120"/>
        <w:contextualSpacing w:val="0"/>
        <w:jc w:val="both"/>
      </w:pPr>
      <w:r>
        <w:rPr>
          <w:u w:val="single"/>
        </w:rPr>
        <w:t xml:space="preserve">Fee </w:t>
      </w:r>
      <w:r w:rsidR="004F3163">
        <w:rPr>
          <w:u w:val="single"/>
        </w:rPr>
        <w:t>Cap</w:t>
      </w:r>
      <w:r w:rsidR="004F3163" w:rsidRPr="004F3163">
        <w:t xml:space="preserve"> – The maximum fee payable to a</w:t>
      </w:r>
      <w:r>
        <w:t>n</w:t>
      </w:r>
      <w:r w:rsidR="004F3163" w:rsidRPr="004F3163">
        <w:t xml:space="preserve"> </w:t>
      </w:r>
      <w:r>
        <w:t>External Portfolio M</w:t>
      </w:r>
      <w:r w:rsidR="004F3163" w:rsidRPr="004F3163">
        <w:t>anager.</w:t>
      </w:r>
      <w:r w:rsidR="004F3163">
        <w:t xml:space="preserve"> Most agreements do not contain </w:t>
      </w:r>
      <w:r>
        <w:t xml:space="preserve">Fee </w:t>
      </w:r>
      <w:r w:rsidR="00080B09">
        <w:t>Caps</w:t>
      </w:r>
      <w:r w:rsidR="004F3163">
        <w:t xml:space="preserve">.  A </w:t>
      </w:r>
      <w:r>
        <w:t xml:space="preserve">Fee </w:t>
      </w:r>
      <w:r w:rsidR="00080B09">
        <w:t xml:space="preserve">Cap </w:t>
      </w:r>
      <w:r w:rsidR="004F3163">
        <w:t xml:space="preserve">typically applies to the sum of the </w:t>
      </w:r>
      <w:r w:rsidR="00080B09">
        <w:t xml:space="preserve">Base Fee </w:t>
      </w:r>
      <w:r w:rsidR="004F3163">
        <w:t xml:space="preserve">and </w:t>
      </w:r>
      <w:r w:rsidR="00080B09">
        <w:t xml:space="preserve">Profit Share </w:t>
      </w:r>
      <w:r w:rsidR="004F3163">
        <w:t>and is designed to curb excessive risk-taking.</w:t>
      </w:r>
    </w:p>
    <w:p w14:paraId="22E818F9" w14:textId="45197843" w:rsidR="004F3163" w:rsidRDefault="004F3163" w:rsidP="004B38F0">
      <w:pPr>
        <w:pStyle w:val="ListParagraph"/>
        <w:numPr>
          <w:ilvl w:val="0"/>
          <w:numId w:val="11"/>
        </w:numPr>
        <w:spacing w:after="120"/>
        <w:contextualSpacing w:val="0"/>
        <w:jc w:val="both"/>
      </w:pPr>
      <w:r w:rsidRPr="00B86030">
        <w:rPr>
          <w:u w:val="single"/>
        </w:rPr>
        <w:t xml:space="preserve">Lock </w:t>
      </w:r>
      <w:r w:rsidR="00080B09">
        <w:rPr>
          <w:u w:val="single"/>
        </w:rPr>
        <w:t>U</w:t>
      </w:r>
      <w:r w:rsidR="00080B09" w:rsidRPr="00B86030">
        <w:rPr>
          <w:u w:val="single"/>
        </w:rPr>
        <w:t>p</w:t>
      </w:r>
      <w:r w:rsidR="00080B09">
        <w:t xml:space="preserve"> </w:t>
      </w:r>
      <w:r>
        <w:t xml:space="preserve">– The time period during which PSERS is not </w:t>
      </w:r>
      <w:r w:rsidR="00B86030">
        <w:t xml:space="preserve">permitted to redeem or reduce its investment with that </w:t>
      </w:r>
      <w:r w:rsidR="00F322B8">
        <w:t>External Portfolio M</w:t>
      </w:r>
      <w:r w:rsidR="00B86030">
        <w:t xml:space="preserve">anager.  Generally, the longer the </w:t>
      </w:r>
      <w:r w:rsidR="00080B09">
        <w:t>Lock Up</w:t>
      </w:r>
      <w:r w:rsidR="00B86030">
        <w:t xml:space="preserve">, the lower the </w:t>
      </w:r>
      <w:r w:rsidR="00080B09">
        <w:t xml:space="preserve">Base Fee </w:t>
      </w:r>
      <w:r w:rsidR="00B86030">
        <w:t xml:space="preserve">and/or </w:t>
      </w:r>
      <w:r w:rsidR="00080B09">
        <w:t xml:space="preserve">Profit </w:t>
      </w:r>
      <w:commentRangeStart w:id="3"/>
      <w:r w:rsidR="00080B09">
        <w:t>Share</w:t>
      </w:r>
      <w:commentRangeEnd w:id="3"/>
      <w:r w:rsidR="001115C4">
        <w:rPr>
          <w:rStyle w:val="CommentReference"/>
        </w:rPr>
        <w:commentReference w:id="3"/>
      </w:r>
      <w:r w:rsidR="00B86030">
        <w:t>.</w:t>
      </w:r>
      <w:r w:rsidR="00AE3EE0">
        <w:t xml:space="preserve"> Other agreement terms such as gates, notice periods, and side pockets are also sometimes used to regulate or limit the ability of investors to redeem or reduce their investment.</w:t>
      </w:r>
    </w:p>
    <w:p w14:paraId="3D12D9FB" w14:textId="34B85EFE" w:rsidR="00B86030" w:rsidRPr="00B86030" w:rsidRDefault="00B86030" w:rsidP="004B38F0">
      <w:pPr>
        <w:pStyle w:val="ListParagraph"/>
        <w:numPr>
          <w:ilvl w:val="0"/>
          <w:numId w:val="11"/>
        </w:numPr>
        <w:spacing w:after="120"/>
        <w:contextualSpacing w:val="0"/>
        <w:jc w:val="both"/>
      </w:pPr>
      <w:r w:rsidRPr="00B86030">
        <w:rPr>
          <w:u w:val="single"/>
        </w:rPr>
        <w:t>Netting</w:t>
      </w:r>
      <w:r>
        <w:t xml:space="preserve"> – In cases where PSERS has more than one mandate with a</w:t>
      </w:r>
      <w:r w:rsidR="00F322B8">
        <w:t xml:space="preserve"> m</w:t>
      </w:r>
      <w:r>
        <w:t>anage</w:t>
      </w:r>
      <w:r w:rsidR="00F322B8">
        <w:t>ment firm</w:t>
      </w:r>
      <w:r>
        <w:t xml:space="preserve"> and each of those mandates has a </w:t>
      </w:r>
      <w:r w:rsidR="00080B09">
        <w:t>Profit Share</w:t>
      </w:r>
      <w:r>
        <w:t xml:space="preserve">, PSERS </w:t>
      </w:r>
      <w:r w:rsidR="00117122">
        <w:t xml:space="preserve">will seek to </w:t>
      </w:r>
      <w:r>
        <w:t xml:space="preserve">pay a </w:t>
      </w:r>
      <w:r w:rsidR="006A57B2">
        <w:t>P</w:t>
      </w:r>
      <w:r>
        <w:t xml:space="preserve">rofit </w:t>
      </w:r>
      <w:r w:rsidR="006A57B2">
        <w:t>S</w:t>
      </w:r>
      <w:r>
        <w:t xml:space="preserve">hare only on the net </w:t>
      </w:r>
      <w:r w:rsidR="00080B09">
        <w:t xml:space="preserve">Profit Share </w:t>
      </w:r>
      <w:r>
        <w:t xml:space="preserve">across </w:t>
      </w:r>
      <w:r w:rsidR="007857D8">
        <w:t xml:space="preserve">all </w:t>
      </w:r>
      <w:r>
        <w:t>the mandates</w:t>
      </w:r>
      <w:r w:rsidR="00F322B8">
        <w:t xml:space="preserve"> </w:t>
      </w:r>
      <w:r w:rsidR="007857D8">
        <w:t>PSERS has with</w:t>
      </w:r>
      <w:r w:rsidR="00F322B8">
        <w:t xml:space="preserve"> that management firm</w:t>
      </w:r>
      <w:r>
        <w:t>.</w:t>
      </w:r>
    </w:p>
    <w:p w14:paraId="17413DA4" w14:textId="77777777" w:rsidR="00527423" w:rsidRPr="00527423" w:rsidRDefault="00527423" w:rsidP="004B38F0">
      <w:pPr>
        <w:pStyle w:val="ListParagraph"/>
        <w:numPr>
          <w:ilvl w:val="0"/>
          <w:numId w:val="11"/>
        </w:numPr>
        <w:spacing w:after="120"/>
        <w:contextualSpacing w:val="0"/>
        <w:jc w:val="both"/>
      </w:pPr>
      <w:proofErr w:type="spellStart"/>
      <w:r w:rsidRPr="00527423">
        <w:rPr>
          <w:u w:val="single"/>
        </w:rPr>
        <w:t>Clawback</w:t>
      </w:r>
      <w:proofErr w:type="spellEnd"/>
      <w:r>
        <w:t xml:space="preserve"> – In cases where PSERS has paid a </w:t>
      </w:r>
      <w:r w:rsidR="00080B09">
        <w:t xml:space="preserve">Profit Share </w:t>
      </w:r>
      <w:r>
        <w:t xml:space="preserve">that subsequent </w:t>
      </w:r>
      <w:r w:rsidR="00A15953">
        <w:t xml:space="preserve">poor </w:t>
      </w:r>
      <w:r>
        <w:t xml:space="preserve">performance renders excessive, PSERS can “claw back” the excess.  In some cases, a </w:t>
      </w:r>
      <w:r w:rsidR="00080B09">
        <w:t xml:space="preserve">Profit Share </w:t>
      </w:r>
      <w:r>
        <w:t xml:space="preserve">is deposited into an escrow account in order to make </w:t>
      </w:r>
      <w:r w:rsidR="00B64EB9">
        <w:t>a future</w:t>
      </w:r>
      <w:r>
        <w:t xml:space="preserve"> </w:t>
      </w:r>
      <w:proofErr w:type="spellStart"/>
      <w:r w:rsidR="00080B09">
        <w:t>Clawback</w:t>
      </w:r>
      <w:proofErr w:type="spellEnd"/>
      <w:r w:rsidR="00080B09">
        <w:t xml:space="preserve"> </w:t>
      </w:r>
      <w:r>
        <w:t>more secure.</w:t>
      </w:r>
    </w:p>
    <w:p w14:paraId="3CE66CAF" w14:textId="77777777" w:rsidR="0085178F" w:rsidRPr="0085178F" w:rsidRDefault="0085178F" w:rsidP="004B38F0">
      <w:pPr>
        <w:pStyle w:val="ListParagraph"/>
        <w:numPr>
          <w:ilvl w:val="0"/>
          <w:numId w:val="11"/>
        </w:numPr>
        <w:spacing w:after="120"/>
        <w:contextualSpacing w:val="0"/>
        <w:jc w:val="both"/>
      </w:pPr>
      <w:r w:rsidRPr="0085178F">
        <w:rPr>
          <w:u w:val="single"/>
        </w:rPr>
        <w:lastRenderedPageBreak/>
        <w:t>MFN (Most Favored Nation)</w:t>
      </w:r>
      <w:r>
        <w:t xml:space="preserve"> – A stipulation that no investor </w:t>
      </w:r>
      <w:r w:rsidR="00F322B8">
        <w:t xml:space="preserve">in a similar strategy </w:t>
      </w:r>
      <w:r>
        <w:t>will receive a better fee structure than any other investor of comparable</w:t>
      </w:r>
      <w:r w:rsidR="00134025">
        <w:t xml:space="preserve"> or lesser</w:t>
      </w:r>
      <w:r>
        <w:t xml:space="preserve"> commitment amount.</w:t>
      </w:r>
    </w:p>
    <w:p w14:paraId="458E40C9" w14:textId="592ECFAA" w:rsidR="004F3163" w:rsidRDefault="00B86030" w:rsidP="004B38F0">
      <w:pPr>
        <w:pStyle w:val="ListParagraph"/>
        <w:numPr>
          <w:ilvl w:val="0"/>
          <w:numId w:val="11"/>
        </w:numPr>
        <w:spacing w:after="120"/>
        <w:contextualSpacing w:val="0"/>
        <w:jc w:val="both"/>
      </w:pPr>
      <w:r w:rsidRPr="00B86030">
        <w:rPr>
          <w:u w:val="single"/>
        </w:rPr>
        <w:t>Other Variables</w:t>
      </w:r>
      <w:r>
        <w:t xml:space="preserve"> – In general, fees payable to a</w:t>
      </w:r>
      <w:r w:rsidR="00F322B8">
        <w:t>n External Portfolio</w:t>
      </w:r>
      <w:r>
        <w:t xml:space="preserve"> </w:t>
      </w:r>
      <w:r w:rsidR="00F322B8">
        <w:t>M</w:t>
      </w:r>
      <w:r>
        <w:t>anager with large remaining capacity or in a strategy with large capacity are lower than otherwise.  Also, in cases where PSERS makes a large allocation to the manager (relative to the fund</w:t>
      </w:r>
      <w:r w:rsidR="00A15953">
        <w:t>’s</w:t>
      </w:r>
      <w:r>
        <w:t xml:space="preserve"> size or </w:t>
      </w:r>
      <w:r w:rsidR="00117122">
        <w:t xml:space="preserve">relative to </w:t>
      </w:r>
      <w:r>
        <w:t>other investors), makes that commitment early in the manager’s capital raising</w:t>
      </w:r>
      <w:r w:rsidR="00B64EB9">
        <w:t xml:space="preserve"> cycle</w:t>
      </w:r>
      <w:r>
        <w:t xml:space="preserve">, </w:t>
      </w:r>
      <w:r w:rsidR="00B64EB9">
        <w:t xml:space="preserve">or </w:t>
      </w:r>
      <w:r>
        <w:t xml:space="preserve">has a previous relationship with that manager (from other </w:t>
      </w:r>
      <w:r w:rsidR="00117122">
        <w:t>mandates</w:t>
      </w:r>
      <w:r>
        <w:t xml:space="preserve"> or other funds), fees are lower than </w:t>
      </w:r>
      <w:commentRangeStart w:id="4"/>
      <w:r>
        <w:t>otherwise</w:t>
      </w:r>
      <w:commentRangeEnd w:id="4"/>
      <w:r w:rsidR="001362BA">
        <w:rPr>
          <w:rStyle w:val="CommentReference"/>
        </w:rPr>
        <w:commentReference w:id="4"/>
      </w:r>
      <w:r>
        <w:t>.</w:t>
      </w:r>
      <w:r w:rsidR="003541F6">
        <w:t xml:space="preserve"> Finally, PSERS can often obtain an Advisory Board Seat with </w:t>
      </w:r>
      <w:r w:rsidR="004B38F0">
        <w:t>an</w:t>
      </w:r>
      <w:r w:rsidR="003541F6">
        <w:t xml:space="preserve"> External Portfolio Manager, which, while not directly providing any fee savings to PSERS, provides value to PSERS in the form of better governance oversight over the manager.</w:t>
      </w:r>
    </w:p>
    <w:p w14:paraId="7D5842BF" w14:textId="77777777" w:rsidR="00527423" w:rsidRDefault="00527423" w:rsidP="00052F31"/>
    <w:p w14:paraId="3E059086" w14:textId="77777777" w:rsidR="0085178F" w:rsidRDefault="0085178F" w:rsidP="00430281">
      <w:pPr>
        <w:rPr>
          <w:b/>
        </w:rPr>
      </w:pPr>
      <w:r w:rsidRPr="0085178F">
        <w:rPr>
          <w:b/>
        </w:rPr>
        <w:t>Elements of a Good Investment Management Fee Structure</w:t>
      </w:r>
    </w:p>
    <w:p w14:paraId="76863753" w14:textId="77777777" w:rsidR="000A4983" w:rsidRDefault="000A4983" w:rsidP="000A4983"/>
    <w:p w14:paraId="16055268" w14:textId="0524C054" w:rsidR="008323BE" w:rsidRDefault="00BA0BDD" w:rsidP="00B260F4">
      <w:pPr>
        <w:spacing w:after="120"/>
        <w:jc w:val="both"/>
      </w:pPr>
      <w:r>
        <w:t xml:space="preserve">Because we cannot know </w:t>
      </w:r>
      <w:r w:rsidR="000A7AFA">
        <w:t>future returns with certainty, t</w:t>
      </w:r>
      <w:r w:rsidR="00FA1F60">
        <w:t xml:space="preserve">he optimal fee structure is one that leaves PSERS with a higher </w:t>
      </w:r>
      <w:r w:rsidR="00FA1F60" w:rsidRPr="00CE77A8">
        <w:rPr>
          <w:i/>
        </w:rPr>
        <w:t xml:space="preserve">expected </w:t>
      </w:r>
      <w:r w:rsidR="00FA1F60">
        <w:t>risk-adjusted net-of-fee return than any</w:t>
      </w:r>
      <w:r w:rsidR="00CB5EA0">
        <w:t xml:space="preserve"> reasonable</w:t>
      </w:r>
      <w:r w:rsidR="00FA1F60">
        <w:t xml:space="preserve"> alternative.  </w:t>
      </w:r>
      <w:r w:rsidR="008323BE">
        <w:t>Significantly,</w:t>
      </w:r>
      <w:r w:rsidR="00FA1F60">
        <w:t xml:space="preserve"> this m</w:t>
      </w:r>
      <w:r w:rsidR="008323BE">
        <w:t>ight</w:t>
      </w:r>
      <w:r w:rsidR="00FA1F60">
        <w:t xml:space="preserve"> mean that the </w:t>
      </w:r>
      <w:r w:rsidR="00A15953">
        <w:t xml:space="preserve">total </w:t>
      </w:r>
      <w:r w:rsidR="00FA1F60">
        <w:t>amount of fees</w:t>
      </w:r>
      <w:r w:rsidR="00A15953">
        <w:t xml:space="preserve"> (i.e., </w:t>
      </w:r>
      <w:r w:rsidR="00080B09">
        <w:t xml:space="preserve">Base Fee </w:t>
      </w:r>
      <w:r w:rsidR="00A15953">
        <w:t xml:space="preserve">plus </w:t>
      </w:r>
      <w:r w:rsidR="00080B09">
        <w:t>Profit Share</w:t>
      </w:r>
      <w:r w:rsidR="00A15953">
        <w:t>)</w:t>
      </w:r>
      <w:r w:rsidR="008323BE">
        <w:t xml:space="preserve"> paid to one </w:t>
      </w:r>
      <w:r w:rsidR="00D66355">
        <w:t>External Portfolio M</w:t>
      </w:r>
      <w:r w:rsidR="008323BE">
        <w:t xml:space="preserve">anager is higher than would be paid to another manager if the chosen manager’s </w:t>
      </w:r>
      <w:r w:rsidR="00486689">
        <w:t xml:space="preserve">expected </w:t>
      </w:r>
      <w:r w:rsidR="008323BE">
        <w:t xml:space="preserve">risk-adjusted net-of-fee return </w:t>
      </w:r>
      <w:r w:rsidR="00486689">
        <w:t>is</w:t>
      </w:r>
      <w:r w:rsidR="008323BE">
        <w:t xml:space="preserve"> higher than that of the other manager.  Consequently, a good investment fee structure does not seek </w:t>
      </w:r>
      <w:r w:rsidR="00134025">
        <w:t xml:space="preserve">simply </w:t>
      </w:r>
      <w:r w:rsidR="008323BE">
        <w:t>to minimize fees paid to the manager but instead seeks to maximize the expected risk-adjusted net-of-fee return of that manager.</w:t>
      </w:r>
      <w:r w:rsidR="00B01258">
        <w:t xml:space="preserve"> In other words, it is fee-efficient.</w:t>
      </w:r>
    </w:p>
    <w:p w14:paraId="65371EF2" w14:textId="6DF30139" w:rsidR="00B64EB9" w:rsidRPr="00430281" w:rsidRDefault="00B64EB9" w:rsidP="00B260F4">
      <w:pPr>
        <w:spacing w:after="120"/>
        <w:jc w:val="both"/>
      </w:pPr>
      <w:r w:rsidRPr="00430281">
        <w:t>It is important to recognize that there is no single fee structure</w:t>
      </w:r>
      <w:r w:rsidR="00430281" w:rsidRPr="00430281">
        <w:t xml:space="preserve">, or </w:t>
      </w:r>
      <w:r w:rsidR="000A7AFA">
        <w:t>range</w:t>
      </w:r>
      <w:r w:rsidR="00430281" w:rsidRPr="00430281">
        <w:t xml:space="preserve"> of settings for each of the variables,</w:t>
      </w:r>
      <w:r w:rsidRPr="00430281">
        <w:t xml:space="preserve"> that w</w:t>
      </w:r>
      <w:r w:rsidR="003221DA">
        <w:t>ill do this</w:t>
      </w:r>
      <w:r w:rsidRPr="00430281">
        <w:t xml:space="preserve"> in all cases. </w:t>
      </w:r>
      <w:r w:rsidR="00430281" w:rsidRPr="00430281">
        <w:t xml:space="preserve"> However, </w:t>
      </w:r>
      <w:r w:rsidR="006B1E24">
        <w:t xml:space="preserve">a </w:t>
      </w:r>
      <w:r w:rsidR="00430281" w:rsidRPr="00430281">
        <w:t>good fee structure ha</w:t>
      </w:r>
      <w:r w:rsidR="006B1E24">
        <w:t>s</w:t>
      </w:r>
      <w:r w:rsidR="00591F13">
        <w:t xml:space="preserve"> many or even</w:t>
      </w:r>
      <w:r w:rsidR="00430281" w:rsidRPr="00430281">
        <w:t xml:space="preserve"> </w:t>
      </w:r>
      <w:r w:rsidR="00430281">
        <w:t xml:space="preserve">all of </w:t>
      </w:r>
      <w:r w:rsidR="00430281" w:rsidRPr="00430281">
        <w:t>these elements:</w:t>
      </w:r>
    </w:p>
    <w:p w14:paraId="0EAB087A" w14:textId="77777777" w:rsidR="00134025" w:rsidRDefault="00134025" w:rsidP="00430281">
      <w:pPr>
        <w:pStyle w:val="ListParagraph"/>
        <w:numPr>
          <w:ilvl w:val="0"/>
          <w:numId w:val="15"/>
        </w:numPr>
        <w:spacing w:after="120"/>
        <w:contextualSpacing w:val="0"/>
        <w:jc w:val="both"/>
      </w:pPr>
      <w:r>
        <w:t>Is simple</w:t>
      </w:r>
    </w:p>
    <w:p w14:paraId="5270ECA3" w14:textId="77777777" w:rsidR="0085178F" w:rsidRPr="001C41FB" w:rsidRDefault="0085178F" w:rsidP="00430281">
      <w:pPr>
        <w:pStyle w:val="ListParagraph"/>
        <w:numPr>
          <w:ilvl w:val="0"/>
          <w:numId w:val="15"/>
        </w:numPr>
        <w:spacing w:after="120"/>
        <w:contextualSpacing w:val="0"/>
        <w:jc w:val="both"/>
      </w:pPr>
      <w:r w:rsidRPr="001C41FB">
        <w:t xml:space="preserve">Aligns </w:t>
      </w:r>
      <w:r w:rsidR="00430281">
        <w:t xml:space="preserve">the </w:t>
      </w:r>
      <w:r w:rsidRPr="001C41FB">
        <w:t xml:space="preserve">interests of </w:t>
      </w:r>
      <w:r w:rsidR="00430281">
        <w:t xml:space="preserve">the </w:t>
      </w:r>
      <w:r w:rsidRPr="001C41FB">
        <w:t>manager and PSERS</w:t>
      </w:r>
    </w:p>
    <w:p w14:paraId="5FEC584D" w14:textId="1E82D614" w:rsidR="00486689" w:rsidRDefault="00486689" w:rsidP="00486689">
      <w:pPr>
        <w:pStyle w:val="ListParagraph"/>
        <w:numPr>
          <w:ilvl w:val="0"/>
          <w:numId w:val="15"/>
        </w:numPr>
        <w:spacing w:after="120"/>
        <w:contextualSpacing w:val="0"/>
        <w:jc w:val="both"/>
      </w:pPr>
      <w:r>
        <w:t>Promotes a focus on outperformance and idea generation by the manager</w:t>
      </w:r>
    </w:p>
    <w:p w14:paraId="79D0AD37" w14:textId="497B3FD1" w:rsidR="007857D8" w:rsidRDefault="007857D8" w:rsidP="00430281">
      <w:pPr>
        <w:pStyle w:val="ListParagraph"/>
        <w:numPr>
          <w:ilvl w:val="0"/>
          <w:numId w:val="15"/>
        </w:numPr>
        <w:spacing w:after="120"/>
        <w:contextualSpacing w:val="0"/>
        <w:jc w:val="both"/>
      </w:pPr>
      <w:r w:rsidRPr="001C41FB">
        <w:t>Rewards outstanding long-term performance</w:t>
      </w:r>
      <w:r>
        <w:t xml:space="preserve"> by the manager</w:t>
      </w:r>
    </w:p>
    <w:p w14:paraId="51330B85" w14:textId="6C22457D" w:rsidR="0085178F" w:rsidRPr="001C41FB" w:rsidRDefault="0085178F" w:rsidP="00430281">
      <w:pPr>
        <w:pStyle w:val="ListParagraph"/>
        <w:numPr>
          <w:ilvl w:val="0"/>
          <w:numId w:val="15"/>
        </w:numPr>
        <w:spacing w:after="120"/>
        <w:contextualSpacing w:val="0"/>
        <w:jc w:val="both"/>
      </w:pPr>
      <w:r w:rsidRPr="001C41FB">
        <w:t xml:space="preserve">Splits </w:t>
      </w:r>
      <w:r w:rsidR="00430281">
        <w:t>any outperformance</w:t>
      </w:r>
      <w:r w:rsidRPr="001C41FB">
        <w:t xml:space="preserve"> fairly between </w:t>
      </w:r>
      <w:r w:rsidR="00430281">
        <w:t xml:space="preserve">the </w:t>
      </w:r>
      <w:r w:rsidRPr="001C41FB">
        <w:t>manager and PSERS</w:t>
      </w:r>
    </w:p>
    <w:p w14:paraId="2E4DD325" w14:textId="77777777" w:rsidR="0085178F" w:rsidRPr="001C41FB" w:rsidRDefault="00613EE9" w:rsidP="00430281">
      <w:pPr>
        <w:pStyle w:val="ListParagraph"/>
        <w:numPr>
          <w:ilvl w:val="0"/>
          <w:numId w:val="15"/>
        </w:numPr>
        <w:spacing w:after="120"/>
        <w:contextualSpacing w:val="0"/>
        <w:jc w:val="both"/>
      </w:pPr>
      <w:r>
        <w:t>Provides</w:t>
      </w:r>
      <w:r w:rsidR="0085178F" w:rsidRPr="001C41FB">
        <w:t xml:space="preserve"> </w:t>
      </w:r>
      <w:r>
        <w:t xml:space="preserve">relatively </w:t>
      </w:r>
      <w:r w:rsidR="0085178F" w:rsidRPr="001C41FB">
        <w:t xml:space="preserve">more of </w:t>
      </w:r>
      <w:r w:rsidR="00430281">
        <w:t>the outperformance</w:t>
      </w:r>
      <w:r w:rsidR="0085178F" w:rsidRPr="001C41FB">
        <w:t xml:space="preserve"> </w:t>
      </w:r>
      <w:r>
        <w:t xml:space="preserve">to PSERS </w:t>
      </w:r>
      <w:commentRangeStart w:id="5"/>
      <w:r w:rsidR="0085178F" w:rsidRPr="001C41FB">
        <w:t xml:space="preserve">when absolute returns are low and </w:t>
      </w:r>
      <w:r>
        <w:t xml:space="preserve">relatively </w:t>
      </w:r>
      <w:r w:rsidR="0085178F" w:rsidRPr="001C41FB">
        <w:t xml:space="preserve">less of </w:t>
      </w:r>
      <w:r w:rsidR="00430281">
        <w:t>it</w:t>
      </w:r>
      <w:r w:rsidR="0085178F" w:rsidRPr="001C41FB">
        <w:t xml:space="preserve"> when absolute returns are high</w:t>
      </w:r>
      <w:r w:rsidR="00FA1F60">
        <w:t xml:space="preserve">  (in other words, PSERS is willing to give up outsized positive absolute returns in return for earning higher absolute returns when absolute returns</w:t>
      </w:r>
      <w:r w:rsidR="00134025">
        <w:t xml:space="preserve"> </w:t>
      </w:r>
      <w:r w:rsidR="00A15953">
        <w:t xml:space="preserve">generally </w:t>
      </w:r>
      <w:r w:rsidR="00134025">
        <w:t>available in the markets</w:t>
      </w:r>
      <w:r w:rsidR="00FA1F60">
        <w:t xml:space="preserve"> are low</w:t>
      </w:r>
      <w:r w:rsidR="00CB5EA0">
        <w:t>,</w:t>
      </w:r>
      <w:r w:rsidR="008C5273">
        <w:t xml:space="preserve"> in order to more consistently and reliably achieve its actuarial required return</w:t>
      </w:r>
      <w:r w:rsidR="00FA1F60">
        <w:t>)</w:t>
      </w:r>
      <w:commentRangeEnd w:id="5"/>
      <w:r w:rsidR="00A91B1C">
        <w:rPr>
          <w:rStyle w:val="CommentReference"/>
        </w:rPr>
        <w:commentReference w:id="5"/>
      </w:r>
    </w:p>
    <w:p w14:paraId="7AAA0682" w14:textId="69FFAB16" w:rsidR="0085178F" w:rsidRPr="001C41FB" w:rsidRDefault="0063695C" w:rsidP="00430281">
      <w:pPr>
        <w:pStyle w:val="ListParagraph"/>
        <w:numPr>
          <w:ilvl w:val="0"/>
          <w:numId w:val="15"/>
        </w:numPr>
        <w:spacing w:after="120"/>
        <w:contextualSpacing w:val="0"/>
        <w:jc w:val="both"/>
      </w:pPr>
      <w:r>
        <w:t>Helps c</w:t>
      </w:r>
      <w:r w:rsidR="0085178F" w:rsidRPr="001C41FB">
        <w:t xml:space="preserve">over </w:t>
      </w:r>
      <w:r w:rsidR="00430281">
        <w:t xml:space="preserve">the </w:t>
      </w:r>
      <w:r w:rsidR="0085178F" w:rsidRPr="001C41FB">
        <w:t xml:space="preserve">reasonable overhead costs of </w:t>
      </w:r>
      <w:r w:rsidR="00430281">
        <w:t xml:space="preserve">the </w:t>
      </w:r>
      <w:r w:rsidR="0085178F" w:rsidRPr="001C41FB">
        <w:t>manager</w:t>
      </w:r>
    </w:p>
    <w:p w14:paraId="16F37FE7" w14:textId="77777777" w:rsidR="0085178F" w:rsidRPr="001C41FB" w:rsidRDefault="0085178F" w:rsidP="00430281">
      <w:pPr>
        <w:pStyle w:val="ListParagraph"/>
        <w:numPr>
          <w:ilvl w:val="0"/>
          <w:numId w:val="15"/>
        </w:numPr>
        <w:spacing w:after="120"/>
        <w:contextualSpacing w:val="0"/>
        <w:jc w:val="both"/>
      </w:pPr>
      <w:r w:rsidRPr="001C41FB">
        <w:t xml:space="preserve">Promotes </w:t>
      </w:r>
      <w:r w:rsidR="00430281">
        <w:t xml:space="preserve">an </w:t>
      </w:r>
      <w:r w:rsidRPr="001C41FB">
        <w:t>entrepreneurial mindset</w:t>
      </w:r>
      <w:r w:rsidR="00430281">
        <w:t xml:space="preserve"> at the manager</w:t>
      </w:r>
    </w:p>
    <w:p w14:paraId="167E7944" w14:textId="77777777" w:rsidR="0085178F" w:rsidRPr="001C41FB" w:rsidRDefault="0085178F" w:rsidP="00430281">
      <w:pPr>
        <w:pStyle w:val="ListParagraph"/>
        <w:numPr>
          <w:ilvl w:val="0"/>
          <w:numId w:val="15"/>
        </w:numPr>
        <w:spacing w:after="120"/>
        <w:contextualSpacing w:val="0"/>
        <w:jc w:val="both"/>
      </w:pPr>
      <w:r w:rsidRPr="001C41FB">
        <w:t xml:space="preserve">Allows </w:t>
      </w:r>
      <w:r w:rsidR="00430281">
        <w:t xml:space="preserve">the </w:t>
      </w:r>
      <w:r w:rsidRPr="001C41FB">
        <w:t>manager to attract and retain skilled talent</w:t>
      </w:r>
    </w:p>
    <w:p w14:paraId="2B486412" w14:textId="77777777" w:rsidR="0085178F" w:rsidRPr="001C41FB" w:rsidRDefault="0085178F" w:rsidP="00430281">
      <w:pPr>
        <w:pStyle w:val="ListParagraph"/>
        <w:numPr>
          <w:ilvl w:val="0"/>
          <w:numId w:val="15"/>
        </w:numPr>
        <w:spacing w:after="120"/>
        <w:contextualSpacing w:val="0"/>
        <w:jc w:val="both"/>
      </w:pPr>
      <w:r w:rsidRPr="001C41FB">
        <w:t xml:space="preserve">Discourages asset gathering by </w:t>
      </w:r>
      <w:r w:rsidR="00430281">
        <w:t xml:space="preserve">the </w:t>
      </w:r>
      <w:r w:rsidRPr="001C41FB">
        <w:t>manager</w:t>
      </w:r>
    </w:p>
    <w:p w14:paraId="1333C6C1" w14:textId="77777777" w:rsidR="00A15953" w:rsidRDefault="0085178F" w:rsidP="000070F6">
      <w:pPr>
        <w:pStyle w:val="ListParagraph"/>
        <w:numPr>
          <w:ilvl w:val="0"/>
          <w:numId w:val="15"/>
        </w:numPr>
        <w:spacing w:after="120"/>
        <w:contextualSpacing w:val="0"/>
        <w:jc w:val="both"/>
      </w:pPr>
      <w:r w:rsidRPr="001C41FB">
        <w:t>Discourages excessive risk-taking by</w:t>
      </w:r>
      <w:r w:rsidR="00430281">
        <w:t xml:space="preserve"> the</w:t>
      </w:r>
      <w:r w:rsidRPr="001C41FB">
        <w:t xml:space="preserve"> manager</w:t>
      </w:r>
    </w:p>
    <w:p w14:paraId="445CA724" w14:textId="77777777" w:rsidR="0085178F" w:rsidRDefault="00A15953" w:rsidP="000070F6">
      <w:pPr>
        <w:pStyle w:val="ListParagraph"/>
        <w:numPr>
          <w:ilvl w:val="0"/>
          <w:numId w:val="15"/>
        </w:numPr>
        <w:spacing w:after="120"/>
        <w:contextualSpacing w:val="0"/>
        <w:jc w:val="both"/>
      </w:pPr>
      <w:r>
        <w:t>I</w:t>
      </w:r>
      <w:r w:rsidR="007F7D89">
        <w:t>s not game-able by the manager</w:t>
      </w:r>
    </w:p>
    <w:p w14:paraId="3184DF6E" w14:textId="74780608" w:rsidR="000070F6" w:rsidRDefault="000070F6" w:rsidP="000070F6">
      <w:pPr>
        <w:pStyle w:val="ListParagraph"/>
        <w:numPr>
          <w:ilvl w:val="0"/>
          <w:numId w:val="15"/>
        </w:numPr>
        <w:contextualSpacing w:val="0"/>
        <w:jc w:val="both"/>
      </w:pPr>
      <w:r>
        <w:t>Encourages the manager to interact with PSERS</w:t>
      </w:r>
      <w:r w:rsidR="00613EE9">
        <w:t>’</w:t>
      </w:r>
      <w:r>
        <w:t xml:space="preserve"> </w:t>
      </w:r>
      <w:r w:rsidR="000A7AFA">
        <w:t>I</w:t>
      </w:r>
      <w:r>
        <w:t xml:space="preserve">nternal </w:t>
      </w:r>
      <w:r w:rsidR="000A7AFA">
        <w:t>P</w:t>
      </w:r>
      <w:r>
        <w:t xml:space="preserve">ortfolio </w:t>
      </w:r>
      <w:r w:rsidR="000A7AFA">
        <w:t>M</w:t>
      </w:r>
      <w:r>
        <w:t>anagers and provide</w:t>
      </w:r>
      <w:r w:rsidR="00613EE9">
        <w:t xml:space="preserve"> them</w:t>
      </w:r>
      <w:r>
        <w:t xml:space="preserve"> ideas</w:t>
      </w:r>
      <w:r w:rsidR="00025B5B">
        <w:t xml:space="preserve"> and/</w:t>
      </w:r>
      <w:r w:rsidR="00651A7D">
        <w:t>or co-investment opportunities</w:t>
      </w:r>
      <w:r>
        <w:t>.</w:t>
      </w:r>
    </w:p>
    <w:p w14:paraId="517C4026" w14:textId="77777777" w:rsidR="000070F6" w:rsidRDefault="000070F6" w:rsidP="00430281">
      <w:pPr>
        <w:jc w:val="both"/>
      </w:pPr>
    </w:p>
    <w:p w14:paraId="26B5CCB2" w14:textId="2672D97B" w:rsidR="00C04C6B" w:rsidRDefault="00C04C6B" w:rsidP="00C04C6B">
      <w:pPr>
        <w:jc w:val="both"/>
      </w:pPr>
      <w:r>
        <w:t xml:space="preserve">The final element above relates specifically to PSERS and the fact that it manages a significant portion of its assets internally. External </w:t>
      </w:r>
      <w:r w:rsidR="007857D8">
        <w:t>Portfolio M</w:t>
      </w:r>
      <w:r>
        <w:t xml:space="preserve">anagers, in addition to providing asset management services for PSERS, are a source </w:t>
      </w:r>
      <w:r>
        <w:lastRenderedPageBreak/>
        <w:t>of insights and co-investment opportunities that PSERS should exploit for its internally managed portfolios.  In return for the fees PSERS pays them, these managers must be willing to provide these insights and co-investments opportunities</w:t>
      </w:r>
      <w:r w:rsidR="009F5640">
        <w:t xml:space="preserve"> to Internal Portfolio Managers</w:t>
      </w:r>
      <w:r>
        <w:t>.</w:t>
      </w:r>
      <w:r w:rsidR="00486689">
        <w:t xml:space="preserve"> </w:t>
      </w:r>
      <w:r w:rsidR="009F5640">
        <w:t xml:space="preserve">It should </w:t>
      </w:r>
      <w:r w:rsidR="009F5640" w:rsidRPr="009F5640">
        <w:t>be</w:t>
      </w:r>
      <w:r w:rsidR="00486689" w:rsidRPr="009F5640">
        <w:t xml:space="preserve"> PSERS goal to align and incent</w:t>
      </w:r>
      <w:r w:rsidR="009F5640" w:rsidRPr="009F5640">
        <w:t>ivize</w:t>
      </w:r>
      <w:r w:rsidR="00486689" w:rsidRPr="009F5640">
        <w:t xml:space="preserve"> Internal Portfolio Managers with appropriate Profit Share structures similar to </w:t>
      </w:r>
      <w:r w:rsidR="009F5640" w:rsidRPr="009F5640">
        <w:t xml:space="preserve">those provided to </w:t>
      </w:r>
      <w:r w:rsidR="00486689" w:rsidRPr="009F5640">
        <w:t>External Portfolio Managers in order to attract, retain, and pro</w:t>
      </w:r>
      <w:r w:rsidR="009F5640" w:rsidRPr="009F5640">
        <w:t>mote internal alpha generation.</w:t>
      </w:r>
    </w:p>
    <w:p w14:paraId="277A88CE" w14:textId="77777777" w:rsidR="00C04C6B" w:rsidRDefault="00C04C6B" w:rsidP="00430281">
      <w:pPr>
        <w:jc w:val="both"/>
      </w:pPr>
    </w:p>
    <w:p w14:paraId="22DF0CE5" w14:textId="58617F79" w:rsidR="00430281" w:rsidRDefault="00430281" w:rsidP="00430281">
      <w:pPr>
        <w:jc w:val="both"/>
      </w:pPr>
      <w:r>
        <w:t xml:space="preserve">A </w:t>
      </w:r>
      <w:r w:rsidR="00616C44">
        <w:t xml:space="preserve">fee </w:t>
      </w:r>
      <w:r>
        <w:t>structure</w:t>
      </w:r>
      <w:r w:rsidR="00616C44">
        <w:t xml:space="preserve"> that relies solely on Base Fees</w:t>
      </w:r>
      <w:r>
        <w:t xml:space="preserve"> does not contain all of these elements and is not optimal.  </w:t>
      </w:r>
      <w:r w:rsidR="00616C44">
        <w:t>Such</w:t>
      </w:r>
      <w:r>
        <w:t xml:space="preserve"> structure</w:t>
      </w:r>
      <w:r w:rsidR="00616C44">
        <w:t>s</w:t>
      </w:r>
      <w:r>
        <w:t xml:space="preserve"> encourage asset gathering</w:t>
      </w:r>
      <w:r w:rsidR="00E76775">
        <w:t xml:space="preserve"> and</w:t>
      </w:r>
      <w:r>
        <w:t xml:space="preserve"> alpha dilution</w:t>
      </w:r>
      <w:r w:rsidR="00E76775">
        <w:t>.</w:t>
      </w:r>
      <w:r>
        <w:t xml:space="preserve"> </w:t>
      </w:r>
    </w:p>
    <w:p w14:paraId="61FE80A9" w14:textId="77777777" w:rsidR="00430281" w:rsidRDefault="00430281" w:rsidP="00430281">
      <w:pPr>
        <w:jc w:val="both"/>
      </w:pPr>
    </w:p>
    <w:p w14:paraId="7B9ABA91" w14:textId="5038A18E" w:rsidR="00430281" w:rsidRDefault="00430281" w:rsidP="00430281">
      <w:pPr>
        <w:jc w:val="both"/>
      </w:pPr>
      <w:r>
        <w:t xml:space="preserve">A </w:t>
      </w:r>
      <w:r w:rsidR="00E76775">
        <w:t>fee</w:t>
      </w:r>
      <w:r>
        <w:t xml:space="preserve"> structure</w:t>
      </w:r>
      <w:r w:rsidR="00E76775">
        <w:t xml:space="preserve"> that relies solely on Profit Share also</w:t>
      </w:r>
      <w:r>
        <w:t xml:space="preserve"> does not contain all of these elements and is also not optimal. </w:t>
      </w:r>
      <w:r w:rsidR="00CB5EA0">
        <w:t xml:space="preserve"> </w:t>
      </w:r>
      <w:r w:rsidR="00E76775">
        <w:t>Such structures</w:t>
      </w:r>
      <w:r>
        <w:t xml:space="preserve"> do not cover the overhead costs of the manager and </w:t>
      </w:r>
      <w:r w:rsidR="00651A7D">
        <w:t xml:space="preserve">can </w:t>
      </w:r>
      <w:r>
        <w:t xml:space="preserve">encourage excessive risk-taking. </w:t>
      </w:r>
      <w:r w:rsidR="00513855">
        <w:t>(Note:</w:t>
      </w:r>
      <w:r>
        <w:t xml:space="preserve"> If only a portion of the manager’s assets under management is</w:t>
      </w:r>
      <w:r w:rsidR="00513855">
        <w:t xml:space="preserve"> </w:t>
      </w:r>
      <w:r w:rsidR="00A40D8B">
        <w:t xml:space="preserve">Profit Share </w:t>
      </w:r>
      <w:r w:rsidR="00513855">
        <w:t xml:space="preserve">only and the rest has a </w:t>
      </w:r>
      <w:r w:rsidR="00A40D8B">
        <w:t xml:space="preserve">Base Fee </w:t>
      </w:r>
      <w:r w:rsidR="00513855">
        <w:t>component, then the overall fee structure for the manager is more balanced and therefore far closer to optimal.)</w:t>
      </w:r>
    </w:p>
    <w:p w14:paraId="22EF54F1" w14:textId="77777777" w:rsidR="008E73B9" w:rsidRDefault="008E73B9" w:rsidP="00430281">
      <w:pPr>
        <w:jc w:val="both"/>
      </w:pPr>
    </w:p>
    <w:p w14:paraId="529A5E8B" w14:textId="422E82C7" w:rsidR="008E73B9" w:rsidRDefault="008E73B9" w:rsidP="00430281">
      <w:pPr>
        <w:jc w:val="both"/>
      </w:pPr>
      <w:r>
        <w:t>In general, in a fee negotiation with a</w:t>
      </w:r>
      <w:r w:rsidR="00583F65">
        <w:t>n</w:t>
      </w:r>
      <w:r>
        <w:t xml:space="preserve"> </w:t>
      </w:r>
      <w:r w:rsidR="00583F65">
        <w:t>External Portfolio M</w:t>
      </w:r>
      <w:r>
        <w:t>anager, PSERS will begin with the</w:t>
      </w:r>
      <w:r w:rsidR="00A15953">
        <w:t xml:space="preserve"> manager’s</w:t>
      </w:r>
      <w:r>
        <w:t xml:space="preserve"> standard fee schedule and structure and end with a </w:t>
      </w:r>
      <w:r w:rsidR="0063695C">
        <w:t xml:space="preserve">fee schedule and </w:t>
      </w:r>
      <w:r>
        <w:t xml:space="preserve">structure that contain the above elements in a way that maximizes the expected </w:t>
      </w:r>
      <w:r w:rsidR="00706A13">
        <w:t xml:space="preserve">risk-adjusted </w:t>
      </w:r>
      <w:r>
        <w:t>net-of-fee return.</w:t>
      </w:r>
      <w:r w:rsidR="00285754">
        <w:t xml:space="preserve">  </w:t>
      </w:r>
      <w:r w:rsidR="00207ED9">
        <w:t xml:space="preserve">The optimal fee structure negotiated will typically have both a Base Fee component and a Profit Share </w:t>
      </w:r>
      <w:commentRangeStart w:id="6"/>
      <w:r w:rsidR="00207ED9">
        <w:t>component</w:t>
      </w:r>
      <w:commentRangeEnd w:id="6"/>
      <w:r w:rsidR="00207ED9">
        <w:rPr>
          <w:rStyle w:val="CommentReference"/>
        </w:rPr>
        <w:commentReference w:id="6"/>
      </w:r>
      <w:r w:rsidR="00207ED9">
        <w:t>, and be analyzed using a variety of different potential return outcomes.</w:t>
      </w:r>
    </w:p>
    <w:p w14:paraId="0729CECB" w14:textId="77777777" w:rsidR="000070F6" w:rsidRDefault="000070F6" w:rsidP="00430281">
      <w:pPr>
        <w:jc w:val="both"/>
      </w:pPr>
    </w:p>
    <w:p w14:paraId="69EF027B" w14:textId="77777777" w:rsidR="00613EE9" w:rsidRPr="00342983" w:rsidRDefault="00613EE9" w:rsidP="00430281">
      <w:pPr>
        <w:jc w:val="both"/>
        <w:rPr>
          <w:b/>
        </w:rPr>
      </w:pPr>
      <w:r w:rsidRPr="00342983">
        <w:rPr>
          <w:b/>
        </w:rPr>
        <w:t>Approval Process</w:t>
      </w:r>
    </w:p>
    <w:p w14:paraId="113F267E" w14:textId="77777777" w:rsidR="00613EE9" w:rsidRDefault="00613EE9" w:rsidP="00430281">
      <w:pPr>
        <w:jc w:val="both"/>
      </w:pPr>
    </w:p>
    <w:p w14:paraId="3EB46247" w14:textId="5BB3647D" w:rsidR="00613EE9" w:rsidRDefault="00025B5B" w:rsidP="00430281">
      <w:pPr>
        <w:jc w:val="both"/>
      </w:pPr>
      <w:r>
        <w:t xml:space="preserve">When introducing a new </w:t>
      </w:r>
      <w:r w:rsidR="00CF5CCF">
        <w:t>External Portfolio M</w:t>
      </w:r>
      <w:r>
        <w:t xml:space="preserve">anager </w:t>
      </w:r>
      <w:r w:rsidR="00613EE9">
        <w:t xml:space="preserve">mandate, </w:t>
      </w:r>
      <w:r w:rsidR="00214E60">
        <w:t xml:space="preserve">prior to commitment, </w:t>
      </w:r>
      <w:r w:rsidR="00613EE9">
        <w:t>IO</w:t>
      </w:r>
      <w:r w:rsidR="006F72CC">
        <w:t>P</w:t>
      </w:r>
      <w:r w:rsidR="00613EE9">
        <w:t xml:space="preserve"> will</w:t>
      </w:r>
      <w:r w:rsidR="007857D8">
        <w:t>,</w:t>
      </w:r>
      <w:r w:rsidR="008D0FCD">
        <w:t xml:space="preserve"> </w:t>
      </w:r>
      <w:r w:rsidR="007857D8">
        <w:t xml:space="preserve">in </w:t>
      </w:r>
      <w:r w:rsidR="008D0FCD">
        <w:t>accordance with this policy,</w:t>
      </w:r>
      <w:r w:rsidR="00613EE9">
        <w:t xml:space="preserve"> negotiate a fee structure with the manager and present that structure to the AIC as part of the </w:t>
      </w:r>
      <w:r w:rsidR="00706A13">
        <w:t xml:space="preserve">overall </w:t>
      </w:r>
      <w:r w:rsidR="00613EE9">
        <w:t>approval process for that mandate.</w:t>
      </w:r>
      <w:r w:rsidR="00BC01BB">
        <w:t xml:space="preserve">  Once that man</w:t>
      </w:r>
      <w:r w:rsidR="001B4137">
        <w:t>date</w:t>
      </w:r>
      <w:r w:rsidR="00BC01BB">
        <w:t xml:space="preserve"> is approved by AIC, it is </w:t>
      </w:r>
      <w:r w:rsidR="0063695C">
        <w:t xml:space="preserve">referred to the CIO, who then may </w:t>
      </w:r>
      <w:r w:rsidR="00BC01BB">
        <w:t>submit</w:t>
      </w:r>
      <w:r w:rsidR="0063695C">
        <w:t xml:space="preserve"> it</w:t>
      </w:r>
      <w:r w:rsidR="00BC01BB">
        <w:t xml:space="preserve"> to the Investment Committee for </w:t>
      </w:r>
      <w:r w:rsidR="00986831">
        <w:t>review and then to the Board for</w:t>
      </w:r>
      <w:r w:rsidR="00BC01BB">
        <w:t xml:space="preserve"> approval.</w:t>
      </w:r>
    </w:p>
    <w:p w14:paraId="292B019B" w14:textId="77777777" w:rsidR="00613EE9" w:rsidRDefault="00613EE9" w:rsidP="00430281">
      <w:pPr>
        <w:jc w:val="both"/>
      </w:pPr>
    </w:p>
    <w:p w14:paraId="71E9598B" w14:textId="0264871A" w:rsidR="00613EE9" w:rsidRDefault="00613EE9" w:rsidP="00430281">
      <w:pPr>
        <w:jc w:val="both"/>
      </w:pPr>
      <w:r>
        <w:t>For a</w:t>
      </w:r>
      <w:r w:rsidR="00025B5B">
        <w:t xml:space="preserve"> current </w:t>
      </w:r>
      <w:r w:rsidR="00CF5CCF">
        <w:t>External Portfolio M</w:t>
      </w:r>
      <w:r>
        <w:t>anager</w:t>
      </w:r>
      <w:r w:rsidR="00706A13">
        <w:t xml:space="preserve"> mandate</w:t>
      </w:r>
      <w:r>
        <w:t>, where IO</w:t>
      </w:r>
      <w:r w:rsidR="006F72CC">
        <w:t>P</w:t>
      </w:r>
      <w:r>
        <w:t xml:space="preserve"> believes a better fee structure is warranted, IO</w:t>
      </w:r>
      <w:r w:rsidR="006B1E24">
        <w:t>P</w:t>
      </w:r>
      <w:r>
        <w:t xml:space="preserve"> will negotiate a new structure with the manager and present that structure to the </w:t>
      </w:r>
      <w:r w:rsidR="00486689">
        <w:t>AIC</w:t>
      </w:r>
      <w:r>
        <w:t xml:space="preserve"> for </w:t>
      </w:r>
      <w:r w:rsidR="007857D8">
        <w:t>approval.</w:t>
      </w:r>
      <w:r w:rsidR="00706A13">
        <w:t xml:space="preserve">  </w:t>
      </w:r>
    </w:p>
    <w:p w14:paraId="201D1937" w14:textId="77777777" w:rsidR="00613EE9" w:rsidRDefault="00613EE9" w:rsidP="00430281">
      <w:pPr>
        <w:jc w:val="both"/>
      </w:pPr>
    </w:p>
    <w:p w14:paraId="1C673B8B" w14:textId="543EFB45" w:rsidR="00342983" w:rsidRDefault="00B16780" w:rsidP="00430281">
      <w:pPr>
        <w:jc w:val="both"/>
      </w:pPr>
      <w:r>
        <w:t>All documentation regarding fee negotiations, including notes and v</w:t>
      </w:r>
      <w:r w:rsidR="00285754">
        <w:t>otes</w:t>
      </w:r>
      <w:r w:rsidR="0063695C">
        <w:t>, shall be</w:t>
      </w:r>
      <w:r w:rsidR="00285754">
        <w:t xml:space="preserve"> stored in Tamale</w:t>
      </w:r>
      <w:r>
        <w:t>.</w:t>
      </w:r>
      <w:r w:rsidR="00285754">
        <w:t xml:space="preserve">  </w:t>
      </w:r>
    </w:p>
    <w:p w14:paraId="3F64158B" w14:textId="77777777" w:rsidR="00342983" w:rsidRDefault="00342983" w:rsidP="00430281">
      <w:pPr>
        <w:jc w:val="both"/>
      </w:pPr>
    </w:p>
    <w:p w14:paraId="7D9B4B5C" w14:textId="77777777" w:rsidR="000070F6" w:rsidRDefault="00613EE9" w:rsidP="00613EE9">
      <w:pPr>
        <w:rPr>
          <w:b/>
        </w:rPr>
      </w:pPr>
      <w:r w:rsidRPr="00613EE9">
        <w:rPr>
          <w:b/>
        </w:rPr>
        <w:t>Reporting, Disclosure</w:t>
      </w:r>
      <w:r w:rsidR="00CF3937">
        <w:rPr>
          <w:b/>
        </w:rPr>
        <w:t>, and Review</w:t>
      </w:r>
    </w:p>
    <w:p w14:paraId="49A70EC5" w14:textId="77777777" w:rsidR="00613EE9" w:rsidRDefault="00613EE9" w:rsidP="00613EE9">
      <w:pPr>
        <w:rPr>
          <w:b/>
        </w:rPr>
      </w:pPr>
    </w:p>
    <w:p w14:paraId="28EE6945" w14:textId="77777777" w:rsidR="00A0055F" w:rsidRDefault="00CF3937" w:rsidP="00A0055F">
      <w:pPr>
        <w:jc w:val="both"/>
      </w:pPr>
      <w:r w:rsidRPr="00CF3937">
        <w:t>There exists no uniform standard</w:t>
      </w:r>
      <w:r w:rsidR="00210794" w:rsidRPr="00CF3937">
        <w:t xml:space="preserve"> for asset owners or public pension funds for the reporting and disclosure of investment management fees</w:t>
      </w:r>
      <w:r w:rsidRPr="00CF3937">
        <w:t>.  The Government</w:t>
      </w:r>
      <w:r w:rsidR="00B16780">
        <w:t>al</w:t>
      </w:r>
      <w:r w:rsidRPr="00CF3937">
        <w:t xml:space="preserve"> Accounting Standards Board (GASB) and </w:t>
      </w:r>
      <w:hyperlink r:id="rId13" w:history="1">
        <w:r w:rsidRPr="00CF3937">
          <w:t>Government Finance Officers Association</w:t>
        </w:r>
      </w:hyperlink>
      <w:r w:rsidRPr="00CF3937">
        <w:t xml:space="preserve"> (GFOA) have not taken a stance on a reporting structure for investment </w:t>
      </w:r>
      <w:r w:rsidR="00BC01BB">
        <w:t xml:space="preserve">management </w:t>
      </w:r>
      <w:r w:rsidRPr="00CF3937">
        <w:t xml:space="preserve">fees, nor have any federal or state regulatory agency issued any guidelines or standards.  </w:t>
      </w:r>
      <w:r w:rsidR="00A0055F">
        <w:t xml:space="preserve">Where possible, IOP will work with accounting, regulatory, and other external bodies to assist in the development of such a uniform standard. It is important to highlight that PSERS’ manner of reporting and disclosure </w:t>
      </w:r>
      <w:r w:rsidR="003A0740">
        <w:t>may</w:t>
      </w:r>
      <w:r w:rsidR="00A0055F">
        <w:t xml:space="preserve"> be different from those of its peers</w:t>
      </w:r>
      <w:r w:rsidR="003A0740">
        <w:t xml:space="preserve"> until </w:t>
      </w:r>
      <w:r w:rsidR="00A0055F">
        <w:t>uniform standard</w:t>
      </w:r>
      <w:r w:rsidR="003A0740">
        <w:t>s are adopted</w:t>
      </w:r>
      <w:r w:rsidR="00A0055F">
        <w:t xml:space="preserve">.  One implication of this is that it may be difficult, if not impossible, to fairly compare the fees paid by PSERS to the fees paid by other public pension funds. Another implication is that there is no accepted benchmark for the appropriate level of investment fees paid by public pension funds, and therefore no basis for determining if a particular public pension fund’s fees are high or </w:t>
      </w:r>
      <w:commentRangeStart w:id="7"/>
      <w:r w:rsidR="00A0055F">
        <w:t>low</w:t>
      </w:r>
      <w:commentRangeEnd w:id="7"/>
      <w:r w:rsidR="00A0055F">
        <w:rPr>
          <w:rStyle w:val="CommentReference"/>
        </w:rPr>
        <w:commentReference w:id="7"/>
      </w:r>
      <w:r w:rsidR="00A0055F">
        <w:t>.</w:t>
      </w:r>
    </w:p>
    <w:p w14:paraId="5D493D67" w14:textId="77777777" w:rsidR="00CF3937" w:rsidRPr="00CF3937" w:rsidRDefault="00CF3937" w:rsidP="00B260F4">
      <w:pPr>
        <w:jc w:val="both"/>
      </w:pPr>
    </w:p>
    <w:p w14:paraId="5DC5813E" w14:textId="312C7C59" w:rsidR="004032F3" w:rsidRDefault="004032F3" w:rsidP="004032F3">
      <w:pPr>
        <w:jc w:val="both"/>
      </w:pPr>
      <w:r w:rsidRPr="00E32F7E">
        <w:t xml:space="preserve">PSERS does not report </w:t>
      </w:r>
      <w:r>
        <w:t xml:space="preserve">a </w:t>
      </w:r>
      <w:r w:rsidRPr="00E32F7E">
        <w:t>gross-of-fee return for the fund as a whole, whether historically, currently, or prospectively</w:t>
      </w:r>
      <w:r>
        <w:t>, a</w:t>
      </w:r>
      <w:r w:rsidR="007857D8">
        <w:t xml:space="preserve">s </w:t>
      </w:r>
      <w:r>
        <w:t>to do so would be expensive and time-consuming for no discernable benefit</w:t>
      </w:r>
      <w:r w:rsidRPr="00E32F7E">
        <w:t>.  Calculating a gross-of-fee return for the fund as a whole is difficult since some assets are held in limited partnerships for which there is no standard or precedent for reporting a gross</w:t>
      </w:r>
      <w:r>
        <w:t>-of-fee</w:t>
      </w:r>
      <w:r w:rsidRPr="00E32F7E">
        <w:t xml:space="preserve"> net asset value, much less what expense items belong or do not belong in a gross</w:t>
      </w:r>
      <w:r>
        <w:t>-of-fee</w:t>
      </w:r>
      <w:r w:rsidRPr="00E32F7E">
        <w:t xml:space="preserve"> net asset value or even what items count as expenses and fees. </w:t>
      </w:r>
    </w:p>
    <w:p w14:paraId="42782F1C" w14:textId="77777777" w:rsidR="00486689" w:rsidRDefault="00486689" w:rsidP="00B260F4">
      <w:pPr>
        <w:jc w:val="both"/>
        <w:rPr>
          <w:highlight w:val="yellow"/>
        </w:rPr>
      </w:pPr>
    </w:p>
    <w:p w14:paraId="666A4653" w14:textId="3DB6DA1E" w:rsidR="00960CBF" w:rsidRPr="00960CBF" w:rsidRDefault="005A5688" w:rsidP="00B260F4">
      <w:pPr>
        <w:jc w:val="both"/>
      </w:pPr>
      <w:r>
        <w:t>T</w:t>
      </w:r>
      <w:r w:rsidR="00960CBF" w:rsidRPr="00134025">
        <w:t xml:space="preserve">he Institutional Limited Partners Association (ILPA) has developed a template for standardized fee reporting of limited partnership-type investments such as private equity.  It is currently promoting these guidelines </w:t>
      </w:r>
      <w:r w:rsidR="00DD1603">
        <w:t>to encourage</w:t>
      </w:r>
      <w:r w:rsidR="00960CBF" w:rsidRPr="00134025">
        <w:t xml:space="preserve"> pension plans and investment managers across the U.S. to adopt them as the best practice for investment fee reporting. However, fees reported</w:t>
      </w:r>
      <w:r w:rsidR="00960CBF" w:rsidRPr="00960CBF">
        <w:t xml:space="preserve"> in the ILPA template are not required to be reported or disclosed in a public </w:t>
      </w:r>
      <w:r w:rsidR="00A816BF">
        <w:t xml:space="preserve">pension </w:t>
      </w:r>
      <w:r w:rsidR="00960CBF" w:rsidRPr="00960CBF">
        <w:t>plan’s financial statements.</w:t>
      </w:r>
      <w:r w:rsidR="00E32F7E">
        <w:t xml:space="preserve"> </w:t>
      </w:r>
      <w:r>
        <w:t xml:space="preserve"> PSERS will generally require its Non-Traditional External Portfolio Managers to submit information to PSERS using the ILPA template.</w:t>
      </w:r>
      <w:r w:rsidR="00486689">
        <w:t xml:space="preserve"> </w:t>
      </w:r>
      <w:r w:rsidR="00C353C1" w:rsidRPr="00134025">
        <w:t>(</w:t>
      </w:r>
      <w:r w:rsidR="00C353C1">
        <w:t xml:space="preserve">Note: </w:t>
      </w:r>
      <w:r w:rsidR="00DD1603">
        <w:t>T</w:t>
      </w:r>
      <w:r w:rsidR="00C353C1" w:rsidRPr="00134025">
        <w:t xml:space="preserve">he ILPA template also has a standardized breakout of other expenses (e.g., legal costs, audit costs, taxes).  These other expenses are in all funds, whether mutual funds, limited partnerships, ETF’s, etc.  These costs should be audited by a third party, so that they can be deemed reasonable fund level expenses.  PSERS does not view these expenses as investment </w:t>
      </w:r>
      <w:r w:rsidR="00C353C1">
        <w:t xml:space="preserve">management </w:t>
      </w:r>
      <w:r w:rsidR="00C353C1" w:rsidRPr="00134025">
        <w:t>fees</w:t>
      </w:r>
      <w:r w:rsidR="00C353C1">
        <w:t xml:space="preserve">, </w:t>
      </w:r>
      <w:r w:rsidR="00802B7A">
        <w:t>because such fees are not paid by the fund to the manager.</w:t>
      </w:r>
      <w:r w:rsidR="00C353C1" w:rsidRPr="00134025">
        <w:t xml:space="preserve">) </w:t>
      </w:r>
      <w:r w:rsidR="00E32F7E">
        <w:t xml:space="preserve"> </w:t>
      </w:r>
    </w:p>
    <w:p w14:paraId="5A912B03" w14:textId="77777777" w:rsidR="00210794" w:rsidRDefault="00210794" w:rsidP="00613EE9"/>
    <w:p w14:paraId="0E2BF1C7" w14:textId="7F217BD0" w:rsidR="00613EE9" w:rsidRDefault="00342983" w:rsidP="00B260F4">
      <w:pPr>
        <w:jc w:val="both"/>
      </w:pPr>
      <w:r w:rsidRPr="00342983">
        <w:t>Once per year following the end of the fiscal year, IO</w:t>
      </w:r>
      <w:r w:rsidR="006F72CC">
        <w:t>P</w:t>
      </w:r>
      <w:r w:rsidRPr="00342983">
        <w:t xml:space="preserve"> will </w:t>
      </w:r>
      <w:r w:rsidR="004C0E19">
        <w:t>submit</w:t>
      </w:r>
      <w:r w:rsidRPr="00342983">
        <w:t xml:space="preserve"> to the AIC an investment </w:t>
      </w:r>
      <w:r w:rsidR="00DD1603">
        <w:t xml:space="preserve">management </w:t>
      </w:r>
      <w:r w:rsidRPr="00342983">
        <w:t xml:space="preserve">fee report that aggregates fees paid to all </w:t>
      </w:r>
      <w:r w:rsidR="0037095F">
        <w:t>E</w:t>
      </w:r>
      <w:r w:rsidRPr="00342983">
        <w:t xml:space="preserve">xternal </w:t>
      </w:r>
      <w:r w:rsidR="0037095F">
        <w:t>Portfolio M</w:t>
      </w:r>
      <w:r w:rsidRPr="00342983">
        <w:t>anagers</w:t>
      </w:r>
      <w:r w:rsidR="00C353C1">
        <w:t xml:space="preserve">. </w:t>
      </w:r>
      <w:r w:rsidR="007857D8">
        <w:t xml:space="preserve"> </w:t>
      </w:r>
      <w:r w:rsidR="00C353C1">
        <w:t>Total fees paid will be shown</w:t>
      </w:r>
      <w:r w:rsidRPr="00342983">
        <w:t xml:space="preserve"> in dollar</w:t>
      </w:r>
      <w:r w:rsidR="00E13EAD">
        <w:t>s</w:t>
      </w:r>
      <w:r w:rsidRPr="00342983">
        <w:t xml:space="preserve">, </w:t>
      </w:r>
      <w:r w:rsidR="00210794">
        <w:t xml:space="preserve">in </w:t>
      </w:r>
      <w:r w:rsidRPr="00342983">
        <w:t>b</w:t>
      </w:r>
      <w:r w:rsidR="00210794">
        <w:t>asis points</w:t>
      </w:r>
      <w:r w:rsidRPr="00342983">
        <w:t xml:space="preserve"> of PSERS </w:t>
      </w:r>
      <w:r w:rsidR="0063695C">
        <w:t>net asset value</w:t>
      </w:r>
      <w:r w:rsidRPr="00342983">
        <w:t xml:space="preserve">, and </w:t>
      </w:r>
      <w:r w:rsidR="00210794">
        <w:t xml:space="preserve">in </w:t>
      </w:r>
      <w:commentRangeStart w:id="8"/>
      <w:r w:rsidR="00210794">
        <w:t>basis points</w:t>
      </w:r>
      <w:r w:rsidRPr="00342983">
        <w:t xml:space="preserve"> of PSERS gross exposure. </w:t>
      </w:r>
      <w:commentRangeEnd w:id="8"/>
      <w:r w:rsidR="003E6476">
        <w:rPr>
          <w:rStyle w:val="CommentReference"/>
        </w:rPr>
        <w:commentReference w:id="8"/>
      </w:r>
      <w:r w:rsidRPr="00342983">
        <w:t xml:space="preserve">This report will also provide a breakdown between Traditional </w:t>
      </w:r>
      <w:r w:rsidR="00C353C1">
        <w:t xml:space="preserve">Investments </w:t>
      </w:r>
      <w:r w:rsidRPr="00342983">
        <w:t>and Non-Traditional</w:t>
      </w:r>
      <w:r w:rsidR="00C353C1">
        <w:t xml:space="preserve"> Investments</w:t>
      </w:r>
      <w:r w:rsidR="00210794">
        <w:t>,</w:t>
      </w:r>
      <w:r w:rsidRPr="00342983">
        <w:t xml:space="preserve"> between </w:t>
      </w:r>
      <w:r w:rsidR="00A40D8B">
        <w:t>B</w:t>
      </w:r>
      <w:r w:rsidR="00A40D8B" w:rsidRPr="00342983">
        <w:t xml:space="preserve">ase </w:t>
      </w:r>
      <w:r w:rsidR="00A40D8B">
        <w:t>F</w:t>
      </w:r>
      <w:r w:rsidR="00A40D8B" w:rsidRPr="00342983">
        <w:t xml:space="preserve">ee </w:t>
      </w:r>
      <w:r w:rsidRPr="00342983">
        <w:t xml:space="preserve">and </w:t>
      </w:r>
      <w:r w:rsidR="00A40D8B">
        <w:t>P</w:t>
      </w:r>
      <w:r w:rsidR="00A40D8B" w:rsidRPr="00342983">
        <w:t xml:space="preserve">rofit </w:t>
      </w:r>
      <w:r w:rsidR="00A40D8B">
        <w:t>S</w:t>
      </w:r>
      <w:r w:rsidR="00A40D8B" w:rsidRPr="00342983">
        <w:t>hare</w:t>
      </w:r>
      <w:r w:rsidR="00210794">
        <w:t>, and asset class by asset class</w:t>
      </w:r>
      <w:r w:rsidRPr="00342983">
        <w:t xml:space="preserve">. </w:t>
      </w:r>
      <w:r>
        <w:t xml:space="preserve"> </w:t>
      </w:r>
      <w:r w:rsidR="00210794">
        <w:t xml:space="preserve">For fund-of-fund managers or managers-of-managers, PSERS will make a good faith effort to </w:t>
      </w:r>
      <w:r w:rsidR="004C0E19">
        <w:t>obtain and report</w:t>
      </w:r>
      <w:r w:rsidR="00210794">
        <w:t xml:space="preserve"> the </w:t>
      </w:r>
      <w:r w:rsidR="00A40D8B">
        <w:t xml:space="preserve">Base Fee </w:t>
      </w:r>
      <w:r w:rsidR="00210794">
        <w:t xml:space="preserve">and </w:t>
      </w:r>
      <w:r w:rsidR="00A40D8B">
        <w:t xml:space="preserve">Profit Share </w:t>
      </w:r>
      <w:r w:rsidR="00210794">
        <w:t>of the underlying funds or managers.</w:t>
      </w:r>
      <w:r w:rsidR="00210794" w:rsidRPr="00210794">
        <w:t xml:space="preserve"> </w:t>
      </w:r>
      <w:r w:rsidR="00210794">
        <w:t xml:space="preserve">This report </w:t>
      </w:r>
      <w:r w:rsidR="00960CBF">
        <w:t xml:space="preserve">will </w:t>
      </w:r>
      <w:r w:rsidR="00214E60">
        <w:t xml:space="preserve">also </w:t>
      </w:r>
      <w:r w:rsidR="00210794">
        <w:t xml:space="preserve">show how </w:t>
      </w:r>
      <w:r w:rsidR="00214E60">
        <w:t xml:space="preserve">these figures </w:t>
      </w:r>
      <w:r w:rsidR="00210794">
        <w:t>compare to previous years</w:t>
      </w:r>
      <w:r w:rsidR="00960CBF">
        <w:t xml:space="preserve">, </w:t>
      </w:r>
      <w:r w:rsidR="00214E60">
        <w:t>identify any significant trends</w:t>
      </w:r>
      <w:r w:rsidR="00960CBF">
        <w:t>, and list action items to be taken for the coming year with respect to investment management fees (</w:t>
      </w:r>
      <w:r w:rsidR="00296635">
        <w:t>e.g.,</w:t>
      </w:r>
      <w:r w:rsidR="00960CBF">
        <w:t xml:space="preserve"> </w:t>
      </w:r>
      <w:r w:rsidR="00E13EAD">
        <w:t xml:space="preserve">identify </w:t>
      </w:r>
      <w:r w:rsidR="00296635">
        <w:t xml:space="preserve">those </w:t>
      </w:r>
      <w:r w:rsidR="00C353C1">
        <w:t>managers</w:t>
      </w:r>
      <w:r w:rsidR="00960CBF">
        <w:t xml:space="preserve"> where fees should be re</w:t>
      </w:r>
      <w:r w:rsidR="00C353C1">
        <w:t>-</w:t>
      </w:r>
      <w:r w:rsidR="00960CBF">
        <w:t>negotiated)</w:t>
      </w:r>
      <w:r w:rsidR="00210794">
        <w:t xml:space="preserve">.  </w:t>
      </w:r>
    </w:p>
    <w:p w14:paraId="46E7110C" w14:textId="77777777" w:rsidR="00342983" w:rsidRDefault="00342983" w:rsidP="00B260F4">
      <w:pPr>
        <w:jc w:val="both"/>
      </w:pPr>
    </w:p>
    <w:p w14:paraId="2985C437" w14:textId="71090B3C" w:rsidR="00342983" w:rsidRDefault="00342983" w:rsidP="00B260F4">
      <w:pPr>
        <w:jc w:val="both"/>
      </w:pPr>
      <w:r>
        <w:t xml:space="preserve">Once per year following the end of the fiscal year, </w:t>
      </w:r>
      <w:r w:rsidR="0063695C">
        <w:t>AIC</w:t>
      </w:r>
      <w:r>
        <w:t xml:space="preserve"> will </w:t>
      </w:r>
      <w:r w:rsidR="0063695C">
        <w:t xml:space="preserve">refer this report to the CIO, who may </w:t>
      </w:r>
      <w:r w:rsidR="004A2393">
        <w:t>submit</w:t>
      </w:r>
      <w:r>
        <w:t xml:space="preserve"> this same report to the Investment Committee.</w:t>
      </w:r>
      <w:r w:rsidR="00210794">
        <w:t xml:space="preserve"> </w:t>
      </w:r>
    </w:p>
    <w:p w14:paraId="16348B0C" w14:textId="77777777" w:rsidR="00E32F7E" w:rsidRPr="00E32F7E" w:rsidRDefault="00E32F7E" w:rsidP="003E6476">
      <w:pPr>
        <w:jc w:val="both"/>
      </w:pPr>
    </w:p>
    <w:p w14:paraId="78C6FE88" w14:textId="77777777" w:rsidR="003A0328" w:rsidRPr="000A4983" w:rsidRDefault="000A4983" w:rsidP="00B260F4">
      <w:pPr>
        <w:jc w:val="both"/>
        <w:rPr>
          <w:b/>
        </w:rPr>
      </w:pPr>
      <w:r w:rsidRPr="000A4983">
        <w:rPr>
          <w:b/>
        </w:rPr>
        <w:t>Review and Revision</w:t>
      </w:r>
    </w:p>
    <w:p w14:paraId="051FA9EF" w14:textId="77777777" w:rsidR="003A0328" w:rsidRDefault="003A0328" w:rsidP="00B260F4">
      <w:pPr>
        <w:jc w:val="both"/>
      </w:pPr>
    </w:p>
    <w:p w14:paraId="2AC6F97C" w14:textId="6A242BE6" w:rsidR="00912A21" w:rsidRDefault="00912A21" w:rsidP="003E6476">
      <w:pPr>
        <w:spacing w:after="120"/>
        <w:jc w:val="both"/>
      </w:pPr>
      <w:r>
        <w:t xml:space="preserve">IOP will review and revise, if necessary, this policy at least bi-annually as part of its investment program.  Any changes to the policy must be approved by the </w:t>
      </w:r>
      <w:r w:rsidR="0063695C">
        <w:t xml:space="preserve">AIC and </w:t>
      </w:r>
      <w:r w:rsidR="00DB60C4">
        <w:t>CIO</w:t>
      </w:r>
      <w:r>
        <w:t>.</w:t>
      </w:r>
    </w:p>
    <w:p w14:paraId="2E5DE4B6" w14:textId="77777777" w:rsidR="00912A21" w:rsidRDefault="00912A21" w:rsidP="00613EE9"/>
    <w:p w14:paraId="631BEBB6" w14:textId="77777777" w:rsidR="00912A21" w:rsidRPr="00912A21" w:rsidRDefault="00912A21" w:rsidP="00613EE9">
      <w:pPr>
        <w:rPr>
          <w:b/>
        </w:rPr>
      </w:pPr>
      <w:r w:rsidRPr="00912A21">
        <w:rPr>
          <w:b/>
        </w:rPr>
        <w:t>Approval</w:t>
      </w:r>
    </w:p>
    <w:p w14:paraId="412E9DE7" w14:textId="77777777" w:rsidR="00912A21" w:rsidRDefault="00912A21" w:rsidP="00613EE9"/>
    <w:p w14:paraId="1EA3568C" w14:textId="77777777" w:rsidR="00486689" w:rsidRDefault="00486689" w:rsidP="00486689">
      <w:r>
        <w:t>Approved by AIC: _____________________________ Date: __________</w:t>
      </w:r>
    </w:p>
    <w:p w14:paraId="0EF9FB1E" w14:textId="36CE7D7B" w:rsidR="00912A21" w:rsidRDefault="00912A21" w:rsidP="00912A21">
      <w:r>
        <w:t>Approved by CIO: _____________________________ Date: __________</w:t>
      </w:r>
    </w:p>
    <w:p w14:paraId="12477DF7" w14:textId="77777777" w:rsidR="00912A21" w:rsidRDefault="00912A21" w:rsidP="00613EE9"/>
    <w:p w14:paraId="5BB82BBE" w14:textId="77777777" w:rsidR="000A4983" w:rsidRDefault="000A4983" w:rsidP="00613EE9"/>
    <w:sectPr w:rsidR="000A4983" w:rsidSect="007A6FB5">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leinkofer, Ray" w:date="2018-04-09T12:04:00Z" w:initials="SR">
    <w:p w14:paraId="43730F02" w14:textId="77777777" w:rsidR="00863202" w:rsidRDefault="00863202">
      <w:pPr>
        <w:pStyle w:val="CommentText"/>
      </w:pPr>
      <w:r>
        <w:rPr>
          <w:rStyle w:val="CommentReference"/>
        </w:rPr>
        <w:annotationRef/>
      </w:r>
      <w:r>
        <w:t xml:space="preserve">Do you want to address European vs. American (deal by deal) carry here, separately or not at all?  Perhaps we don’t need it but it really bothers me when PE managers use deal by </w:t>
      </w:r>
      <w:r w:rsidR="001115C4">
        <w:t xml:space="preserve">deal carry because then we have to go chase down former partners and try to sue them under a claw back mechanism.  </w:t>
      </w:r>
    </w:p>
  </w:comment>
  <w:comment w:id="2" w:author="Schleinkofer, Ray" w:date="2018-04-09T12:12:00Z" w:initials="SR">
    <w:p w14:paraId="3013AAA7" w14:textId="77777777" w:rsidR="001115C4" w:rsidRDefault="001115C4">
      <w:pPr>
        <w:pStyle w:val="CommentText"/>
      </w:pPr>
      <w:r>
        <w:rPr>
          <w:rStyle w:val="CommentReference"/>
        </w:rPr>
        <w:annotationRef/>
      </w:r>
      <w:r>
        <w:t>Take it or leave it.  I don’t really like these “lone pine” HWMs but managers put them in frequently on the argument that they don’t want the whole team to walk out after a bad year because they know there won’t be carry.</w:t>
      </w:r>
    </w:p>
  </w:comment>
  <w:comment w:id="3" w:author="Schleinkofer, Ray" w:date="2018-04-09T12:14:00Z" w:initials="SR">
    <w:p w14:paraId="7D8683DC" w14:textId="77777777" w:rsidR="001115C4" w:rsidRDefault="001115C4">
      <w:pPr>
        <w:pStyle w:val="CommentText"/>
      </w:pPr>
      <w:r>
        <w:rPr>
          <w:rStyle w:val="CommentReference"/>
        </w:rPr>
        <w:annotationRef/>
      </w:r>
      <w:r>
        <w:t>I agree that liquidity is technically a form of fee but if we are going to address lock ups, do we need to describe gates, notice periods and side pock</w:t>
      </w:r>
      <w:r w:rsidR="00EB06DD">
        <w:t xml:space="preserve">ets as well?  For example, it is not industry standard to charge fees on gated funds.  It is also not standard to charge carry on side pockets until exit.  </w:t>
      </w:r>
    </w:p>
  </w:comment>
  <w:comment w:id="4" w:author="Schleinkofer, Ray" w:date="2018-04-09T14:02:00Z" w:initials="SR">
    <w:p w14:paraId="2C7D7BCB" w14:textId="77777777" w:rsidR="001362BA" w:rsidRDefault="001362BA">
      <w:pPr>
        <w:pStyle w:val="CommentText"/>
      </w:pPr>
      <w:r>
        <w:rPr>
          <w:rStyle w:val="CommentReference"/>
        </w:rPr>
        <w:annotationRef/>
      </w:r>
      <w:r>
        <w:t xml:space="preserve">Private Equity firms </w:t>
      </w:r>
      <w:r w:rsidR="00802B7A">
        <w:t xml:space="preserve">sometimes </w:t>
      </w:r>
      <w:r>
        <w:t>charg</w:t>
      </w:r>
      <w:r w:rsidR="00802B7A">
        <w:t>e</w:t>
      </w:r>
      <w:r>
        <w:t xml:space="preserve"> monitoring fees to p</w:t>
      </w:r>
      <w:r w:rsidR="00E82698">
        <w:t>ortfolio companies</w:t>
      </w:r>
      <w:r w:rsidR="00802B7A">
        <w:t>.  Do we want to address that or save it for underwriting?</w:t>
      </w:r>
      <w:r w:rsidR="00E82698">
        <w:t xml:space="preserve">  </w:t>
      </w:r>
    </w:p>
  </w:comment>
  <w:comment w:id="5" w:author="Schleinkofer, Ray" w:date="2018-04-09T14:37:00Z" w:initials="SR">
    <w:p w14:paraId="6502F1BC" w14:textId="77777777" w:rsidR="00A91B1C" w:rsidRDefault="00A91B1C">
      <w:pPr>
        <w:pStyle w:val="CommentText"/>
      </w:pPr>
      <w:r>
        <w:rPr>
          <w:rStyle w:val="CommentReference"/>
        </w:rPr>
        <w:annotationRef/>
      </w:r>
      <w:r>
        <w:t xml:space="preserve">Take or leave, I am not sure that this is what you meant.  I gather you were referring to “sliding scale percentages of carry” but what does this mean for managers with index based hurdles?  Should they get less of the “outperformance” if they are up 1% and the market is down 20%, than they do if they are up 14% and the market is up 13%?  </w:t>
      </w:r>
    </w:p>
  </w:comment>
  <w:comment w:id="6" w:author="Schleinkofer, Ray" w:date="2018-04-09T12:38:00Z" w:initials="SR">
    <w:p w14:paraId="5F2F9CCD" w14:textId="77777777" w:rsidR="00207ED9" w:rsidRDefault="00207ED9" w:rsidP="00207ED9">
      <w:pPr>
        <w:pStyle w:val="CommentText"/>
      </w:pPr>
      <w:r>
        <w:rPr>
          <w:rStyle w:val="CommentReference"/>
        </w:rPr>
        <w:annotationRef/>
      </w:r>
      <w:r>
        <w:t xml:space="preserve">For these purposes, I agree but I personally, I still prefer the all profit share model in a scenario where the manager has &gt;50% of her net worth in the strategy and the firm has at least 3 years of operating budget on the balance sheet.  </w:t>
      </w:r>
    </w:p>
  </w:comment>
  <w:comment w:id="7" w:author="Schleinkofer, Ray" w:date="2018-04-09T14:50:00Z" w:initials="SR">
    <w:p w14:paraId="3A065F23" w14:textId="77777777" w:rsidR="00A0055F" w:rsidRDefault="00A0055F" w:rsidP="00A0055F">
      <w:pPr>
        <w:pStyle w:val="CommentText"/>
      </w:pPr>
      <w:r>
        <w:rPr>
          <w:rStyle w:val="CommentReference"/>
        </w:rPr>
        <w:annotationRef/>
      </w:r>
      <w:r>
        <w:t xml:space="preserve">Just a thought, not relevant to the document: Shouldn’t the external consultants offer an opinion/report to the board regarding the reasonableness of the fees paid by PSERS?  </w:t>
      </w:r>
      <w:proofErr w:type="spellStart"/>
      <w:r>
        <w:t>Aksia</w:t>
      </w:r>
      <w:proofErr w:type="spellEnd"/>
      <w:r>
        <w:t xml:space="preserve"> is going to know the prevailing market rates for hedge funds much better than any “appointed commission” or advisor.  And they will have the ability to do “apples to apples” comparisons from the bottom up.  </w:t>
      </w:r>
    </w:p>
  </w:comment>
  <w:comment w:id="8" w:author="Schleinkofer, Ray" w:date="2018-04-09T14:55:00Z" w:initials="SR">
    <w:p w14:paraId="44B04506" w14:textId="77777777" w:rsidR="003E6476" w:rsidRDefault="003E6476">
      <w:pPr>
        <w:pStyle w:val="CommentText"/>
      </w:pPr>
      <w:r>
        <w:rPr>
          <w:rStyle w:val="CommentReference"/>
        </w:rPr>
        <w:annotationRef/>
      </w:r>
      <w:r>
        <w:t xml:space="preserve">This will look strange for fixed income RV managers.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730F02" w15:done="0"/>
  <w15:commentEx w15:paraId="3013AAA7" w15:done="0"/>
  <w15:commentEx w15:paraId="7D8683DC" w15:done="0"/>
  <w15:commentEx w15:paraId="2C7D7BCB" w15:done="0"/>
  <w15:commentEx w15:paraId="6502F1BC" w15:done="0"/>
  <w15:commentEx w15:paraId="5F2F9CCD" w15:done="0"/>
  <w15:commentEx w15:paraId="3A065F23" w15:done="0"/>
  <w15:commentEx w15:paraId="44B0450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A521" w14:textId="77777777" w:rsidR="00B6412F" w:rsidRDefault="00B6412F" w:rsidP="008814F8">
      <w:r>
        <w:separator/>
      </w:r>
    </w:p>
  </w:endnote>
  <w:endnote w:type="continuationSeparator" w:id="0">
    <w:p w14:paraId="7C6390E5" w14:textId="77777777" w:rsidR="00B6412F" w:rsidRDefault="00B6412F" w:rsidP="008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29F5" w14:textId="47EE0ACE" w:rsidR="0022108C" w:rsidRPr="00391111" w:rsidRDefault="00A93BD0" w:rsidP="0022108C">
    <w:pPr>
      <w:pStyle w:val="Footer"/>
      <w:pBdr>
        <w:top w:val="thinThickSmallGap" w:sz="24" w:space="1" w:color="622423"/>
      </w:pBdr>
      <w:tabs>
        <w:tab w:val="center" w:pos="5400"/>
      </w:tabs>
      <w:rPr>
        <w:rFonts w:ascii="Arial" w:hAnsi="Arial" w:cs="Arial"/>
        <w:sz w:val="16"/>
        <w:szCs w:val="16"/>
      </w:rPr>
    </w:pPr>
    <w:r>
      <w:rPr>
        <w:rFonts w:ascii="Arial" w:hAnsi="Arial" w:cs="Arial"/>
        <w:sz w:val="16"/>
        <w:szCs w:val="16"/>
      </w:rPr>
      <w:t xml:space="preserve">External Portfolio Manager </w:t>
    </w:r>
    <w:r w:rsidR="00527423">
      <w:rPr>
        <w:rFonts w:ascii="Arial" w:hAnsi="Arial" w:cs="Arial"/>
        <w:sz w:val="16"/>
        <w:szCs w:val="16"/>
      </w:rPr>
      <w:t>Fee Policy</w:t>
    </w:r>
    <w:r w:rsidR="0022108C" w:rsidRPr="00391111">
      <w:rPr>
        <w:rFonts w:ascii="Arial" w:hAnsi="Arial" w:cs="Arial"/>
        <w:sz w:val="16"/>
        <w:szCs w:val="16"/>
      </w:rPr>
      <w:tab/>
    </w:r>
    <w:r w:rsidR="0022108C" w:rsidRPr="00391111">
      <w:rPr>
        <w:rFonts w:ascii="Arial" w:hAnsi="Arial" w:cs="Arial"/>
        <w:sz w:val="16"/>
        <w:szCs w:val="16"/>
      </w:rPr>
      <w:tab/>
      <w:t xml:space="preserve">Page </w:t>
    </w:r>
    <w:r w:rsidR="0022108C" w:rsidRPr="00391111">
      <w:rPr>
        <w:rFonts w:ascii="Arial" w:hAnsi="Arial" w:cs="Arial"/>
        <w:sz w:val="16"/>
        <w:szCs w:val="16"/>
      </w:rPr>
      <w:fldChar w:fldCharType="begin"/>
    </w:r>
    <w:r w:rsidR="0022108C" w:rsidRPr="00391111">
      <w:rPr>
        <w:rFonts w:ascii="Arial" w:hAnsi="Arial" w:cs="Arial"/>
        <w:sz w:val="16"/>
        <w:szCs w:val="16"/>
      </w:rPr>
      <w:instrText xml:space="preserve"> PAGE   \* MERGEFORMAT </w:instrText>
    </w:r>
    <w:r w:rsidR="0022108C" w:rsidRPr="00391111">
      <w:rPr>
        <w:rFonts w:ascii="Arial" w:hAnsi="Arial" w:cs="Arial"/>
        <w:sz w:val="16"/>
        <w:szCs w:val="16"/>
      </w:rPr>
      <w:fldChar w:fldCharType="separate"/>
    </w:r>
    <w:r w:rsidR="00B17913">
      <w:rPr>
        <w:rFonts w:ascii="Arial" w:hAnsi="Arial" w:cs="Arial"/>
        <w:noProof/>
        <w:sz w:val="16"/>
        <w:szCs w:val="16"/>
      </w:rPr>
      <w:t>5</w:t>
    </w:r>
    <w:r w:rsidR="0022108C" w:rsidRPr="00391111">
      <w:rPr>
        <w:rFonts w:ascii="Arial" w:hAnsi="Arial" w:cs="Arial"/>
        <w:noProof/>
        <w:sz w:val="16"/>
        <w:szCs w:val="16"/>
      </w:rPr>
      <w:fldChar w:fldCharType="end"/>
    </w:r>
  </w:p>
  <w:p w14:paraId="4CE96895" w14:textId="77777777" w:rsidR="0022108C" w:rsidRDefault="00221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166D" w14:textId="3BB275EB" w:rsidR="008421F1" w:rsidRPr="00391111" w:rsidRDefault="008421F1" w:rsidP="008421F1">
    <w:pPr>
      <w:pStyle w:val="Footer"/>
      <w:pBdr>
        <w:top w:val="thinThickSmallGap" w:sz="24" w:space="1" w:color="622423"/>
      </w:pBdr>
      <w:tabs>
        <w:tab w:val="center" w:pos="5400"/>
      </w:tabs>
      <w:rPr>
        <w:rFonts w:ascii="Arial" w:hAnsi="Arial" w:cs="Arial"/>
        <w:sz w:val="16"/>
        <w:szCs w:val="16"/>
      </w:rPr>
    </w:pPr>
    <w:r w:rsidRPr="00391111">
      <w:rPr>
        <w:rFonts w:ascii="Arial" w:hAnsi="Arial" w:cs="Arial"/>
        <w:sz w:val="16"/>
        <w:szCs w:val="16"/>
      </w:rPr>
      <w:tab/>
    </w:r>
    <w:r w:rsidRPr="00391111">
      <w:rPr>
        <w:rFonts w:ascii="Arial" w:hAnsi="Arial" w:cs="Arial"/>
        <w:sz w:val="16"/>
        <w:szCs w:val="16"/>
      </w:rPr>
      <w:tab/>
      <w:t xml:space="preserve">Page </w:t>
    </w:r>
    <w:r w:rsidRPr="00391111">
      <w:rPr>
        <w:rFonts w:ascii="Arial" w:hAnsi="Arial" w:cs="Arial"/>
        <w:sz w:val="16"/>
        <w:szCs w:val="16"/>
      </w:rPr>
      <w:fldChar w:fldCharType="begin"/>
    </w:r>
    <w:r w:rsidRPr="00391111">
      <w:rPr>
        <w:rFonts w:ascii="Arial" w:hAnsi="Arial" w:cs="Arial"/>
        <w:sz w:val="16"/>
        <w:szCs w:val="16"/>
      </w:rPr>
      <w:instrText xml:space="preserve"> PAGE   \* MERGEFORMAT </w:instrText>
    </w:r>
    <w:r w:rsidRPr="00391111">
      <w:rPr>
        <w:rFonts w:ascii="Arial" w:hAnsi="Arial" w:cs="Arial"/>
        <w:sz w:val="16"/>
        <w:szCs w:val="16"/>
      </w:rPr>
      <w:fldChar w:fldCharType="separate"/>
    </w:r>
    <w:r w:rsidR="00B17913">
      <w:rPr>
        <w:rFonts w:ascii="Arial" w:hAnsi="Arial" w:cs="Arial"/>
        <w:noProof/>
        <w:sz w:val="16"/>
        <w:szCs w:val="16"/>
      </w:rPr>
      <w:t>1</w:t>
    </w:r>
    <w:r w:rsidRPr="00391111">
      <w:rPr>
        <w:rFonts w:ascii="Arial" w:hAnsi="Arial" w:cs="Arial"/>
        <w:noProof/>
        <w:sz w:val="16"/>
        <w:szCs w:val="16"/>
      </w:rPr>
      <w:fldChar w:fldCharType="end"/>
    </w:r>
  </w:p>
  <w:p w14:paraId="61CB01E7" w14:textId="77777777" w:rsidR="008421F1" w:rsidRDefault="0084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0A72" w14:textId="77777777" w:rsidR="00B6412F" w:rsidRDefault="00B6412F" w:rsidP="008814F8">
      <w:r>
        <w:separator/>
      </w:r>
    </w:p>
  </w:footnote>
  <w:footnote w:type="continuationSeparator" w:id="0">
    <w:p w14:paraId="3A74C821" w14:textId="77777777" w:rsidR="00B6412F" w:rsidRDefault="00B6412F" w:rsidP="008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54D1" w14:textId="77777777" w:rsidR="00BF3E7B" w:rsidRPr="008814F8" w:rsidRDefault="00BF3E7B" w:rsidP="00BF3E7B">
    <w:pPr>
      <w:pBdr>
        <w:top w:val="single" w:sz="4" w:space="1" w:color="auto"/>
        <w:bottom w:val="single" w:sz="4" w:space="1" w:color="auto"/>
      </w:pBdr>
      <w:jc w:val="center"/>
      <w:rPr>
        <w:rFonts w:ascii="Times New Roman" w:eastAsia="Times New Roman" w:hAnsi="Times New Roman" w:cs="Times New Roman"/>
        <w:b/>
        <w:color w:val="000080"/>
        <w:sz w:val="24"/>
        <w:szCs w:val="24"/>
      </w:rPr>
    </w:pPr>
    <w:r w:rsidRPr="008814F8">
      <w:rPr>
        <w:rFonts w:ascii="Times New Roman" w:eastAsia="Times New Roman" w:hAnsi="Times New Roman" w:cs="Times New Roman"/>
        <w:b/>
        <w:noProof/>
        <w:color w:val="000080"/>
        <w:sz w:val="24"/>
        <w:szCs w:val="24"/>
      </w:rPr>
      <w:drawing>
        <wp:anchor distT="0" distB="0" distL="114300" distR="114300" simplePos="0" relativeHeight="251659264" behindDoc="1" locked="0" layoutInCell="1" allowOverlap="1" wp14:anchorId="31C298FB" wp14:editId="1173ADD4">
          <wp:simplePos x="0" y="0"/>
          <wp:positionH relativeFrom="column">
            <wp:posOffset>5884545</wp:posOffset>
          </wp:positionH>
          <wp:positionV relativeFrom="paragraph">
            <wp:posOffset>114300</wp:posOffset>
          </wp:positionV>
          <wp:extent cx="53530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4F8">
      <w:rPr>
        <w:rFonts w:ascii="Times New Roman" w:eastAsia="Times New Roman" w:hAnsi="Times New Roman" w:cs="Times New Roman"/>
        <w:b/>
        <w:color w:val="000080"/>
        <w:sz w:val="24"/>
        <w:szCs w:val="24"/>
      </w:rPr>
      <w:t>Commonwealth of Pennsylvania</w:t>
    </w:r>
    <w:r w:rsidR="00601E91">
      <w:rPr>
        <w:rFonts w:ascii="Times New Roman" w:eastAsia="Times New Roman" w:hAnsi="Times New Roman" w:cs="Times New Roman"/>
        <w:b/>
        <w:color w:val="000080"/>
        <w:sz w:val="24"/>
        <w:szCs w:val="24"/>
      </w:rPr>
      <w:t>,</w:t>
    </w:r>
    <w:r w:rsidRPr="008814F8">
      <w:rPr>
        <w:rFonts w:ascii="Times New Roman" w:eastAsia="Times New Roman" w:hAnsi="Times New Roman" w:cs="Times New Roman"/>
        <w:b/>
        <w:color w:val="000080"/>
        <w:sz w:val="24"/>
        <w:szCs w:val="24"/>
      </w:rPr>
      <w:t xml:space="preserve"> Public School Employees’ Retirement System</w:t>
    </w:r>
  </w:p>
  <w:p w14:paraId="3411D4EE" w14:textId="77777777" w:rsidR="00966D1A" w:rsidRDefault="00966D1A" w:rsidP="00BF3E7B">
    <w:pPr>
      <w:pBdr>
        <w:top w:val="single" w:sz="4" w:space="1" w:color="auto"/>
        <w:bottom w:val="single" w:sz="4" w:space="1" w:color="auto"/>
      </w:pBdr>
      <w:rPr>
        <w:rFonts w:ascii="Times New Roman" w:eastAsia="Times New Roman" w:hAnsi="Times New Roman" w:cs="Times New Roman"/>
        <w:sz w:val="24"/>
        <w:szCs w:val="24"/>
      </w:rPr>
    </w:pPr>
  </w:p>
  <w:p w14:paraId="2B2283CE" w14:textId="76A601F3" w:rsidR="00052F31" w:rsidRDefault="00B17913" w:rsidP="00EB1AC0">
    <w:pPr>
      <w:pBdr>
        <w:top w:val="single" w:sz="4" w:space="1" w:color="auto"/>
        <w:bottom w:val="single" w:sz="4" w:space="1" w:color="auto"/>
      </w:pBdr>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***DRAFT*** </w:t>
    </w:r>
    <w:r w:rsidR="00B16780">
      <w:rPr>
        <w:rFonts w:ascii="Times New Roman" w:eastAsia="Times New Roman" w:hAnsi="Times New Roman" w:cs="Times New Roman"/>
        <w:sz w:val="24"/>
        <w:szCs w:val="24"/>
      </w:rPr>
      <w:t>External Portfolio Manager</w:t>
    </w:r>
    <w:r w:rsidR="00E77F7A">
      <w:rPr>
        <w:rFonts w:ascii="Times New Roman" w:eastAsia="Times New Roman" w:hAnsi="Times New Roman" w:cs="Times New Roman"/>
        <w:sz w:val="24"/>
        <w:szCs w:val="24"/>
      </w:rPr>
      <w:t xml:space="preserve"> </w:t>
    </w:r>
    <w:r w:rsidR="00EB1AC0">
      <w:rPr>
        <w:rFonts w:ascii="Times New Roman" w:eastAsia="Times New Roman" w:hAnsi="Times New Roman" w:cs="Times New Roman"/>
        <w:sz w:val="24"/>
        <w:szCs w:val="24"/>
      </w:rPr>
      <w:t>Fee Policy</w:t>
    </w:r>
  </w:p>
  <w:p w14:paraId="66274B67" w14:textId="77777777" w:rsidR="00EB1AC0" w:rsidRPr="00EB1AC0" w:rsidRDefault="00EB1AC0" w:rsidP="00966D1A">
    <w:pPr>
      <w:pBdr>
        <w:top w:val="single" w:sz="4" w:space="1" w:color="auto"/>
        <w:bottom w:val="single" w:sz="4" w:space="1" w:color="auto"/>
      </w:pBdr>
      <w:ind w:firstLine="720"/>
      <w:rPr>
        <w:rFonts w:ascii="Times New Roman" w:eastAsia="Times New Roman" w:hAnsi="Times New Roman" w:cs="Times New Roman"/>
        <w:i/>
        <w:sz w:val="24"/>
        <w:szCs w:val="24"/>
      </w:rPr>
    </w:pPr>
  </w:p>
  <w:p w14:paraId="0C8498E5" w14:textId="77777777" w:rsidR="00052F31" w:rsidRPr="007609AA" w:rsidRDefault="00052F31" w:rsidP="00BF3E7B">
    <w:pPr>
      <w:pBdr>
        <w:top w:val="single" w:sz="4" w:space="1" w:color="auto"/>
        <w:bottom w:val="single" w:sz="4" w:space="1" w:color="auto"/>
      </w:pBd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D3E"/>
    <w:multiLevelType w:val="hybridMultilevel"/>
    <w:tmpl w:val="8D44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5E8"/>
    <w:multiLevelType w:val="hybridMultilevel"/>
    <w:tmpl w:val="7C240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7897"/>
    <w:multiLevelType w:val="hybridMultilevel"/>
    <w:tmpl w:val="00A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5D"/>
    <w:multiLevelType w:val="hybridMultilevel"/>
    <w:tmpl w:val="80F47B2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37294E76"/>
    <w:multiLevelType w:val="hybridMultilevel"/>
    <w:tmpl w:val="7DBACD2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3E563C75"/>
    <w:multiLevelType w:val="hybridMultilevel"/>
    <w:tmpl w:val="2218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61E5C"/>
    <w:multiLevelType w:val="hybridMultilevel"/>
    <w:tmpl w:val="BD9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5795A"/>
    <w:multiLevelType w:val="hybridMultilevel"/>
    <w:tmpl w:val="A5E8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8654F3"/>
    <w:multiLevelType w:val="hybridMultilevel"/>
    <w:tmpl w:val="70A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B61ED"/>
    <w:multiLevelType w:val="hybridMultilevel"/>
    <w:tmpl w:val="310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3240B"/>
    <w:multiLevelType w:val="hybridMultilevel"/>
    <w:tmpl w:val="D7A4677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5D50189E"/>
    <w:multiLevelType w:val="hybridMultilevel"/>
    <w:tmpl w:val="365A63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0D8"/>
    <w:multiLevelType w:val="hybridMultilevel"/>
    <w:tmpl w:val="FA400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DE2"/>
    <w:multiLevelType w:val="hybridMultilevel"/>
    <w:tmpl w:val="269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557CA"/>
    <w:multiLevelType w:val="hybridMultilevel"/>
    <w:tmpl w:val="4AF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63D80"/>
    <w:multiLevelType w:val="hybridMultilevel"/>
    <w:tmpl w:val="3CA011A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36197"/>
    <w:multiLevelType w:val="hybridMultilevel"/>
    <w:tmpl w:val="2F80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5"/>
  </w:num>
  <w:num w:numId="5">
    <w:abstractNumId w:val="2"/>
  </w:num>
  <w:num w:numId="6">
    <w:abstractNumId w:val="13"/>
  </w:num>
  <w:num w:numId="7">
    <w:abstractNumId w:val="9"/>
  </w:num>
  <w:num w:numId="8">
    <w:abstractNumId w:val="3"/>
  </w:num>
  <w:num w:numId="9">
    <w:abstractNumId w:val="10"/>
  </w:num>
  <w:num w:numId="10">
    <w:abstractNumId w:val="16"/>
  </w:num>
  <w:num w:numId="11">
    <w:abstractNumId w:val="12"/>
  </w:num>
  <w:num w:numId="12">
    <w:abstractNumId w:val="15"/>
  </w:num>
  <w:num w:numId="13">
    <w:abstractNumId w:val="1"/>
  </w:num>
  <w:num w:numId="14">
    <w:abstractNumId w:val="0"/>
  </w:num>
  <w:num w:numId="15">
    <w:abstractNumId w:val="11"/>
  </w:num>
  <w:num w:numId="16">
    <w:abstractNumId w:val="7"/>
  </w:num>
  <w:num w:numId="17">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leinkofer, Ray">
    <w15:presenceInfo w15:providerId="AD" w15:userId="S-1-5-21-326852099-1603424837-312552118-141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814F8"/>
    <w:rsid w:val="00001D10"/>
    <w:rsid w:val="00005B01"/>
    <w:rsid w:val="000070F6"/>
    <w:rsid w:val="00011A2E"/>
    <w:rsid w:val="00016EA8"/>
    <w:rsid w:val="00025B5B"/>
    <w:rsid w:val="00025C04"/>
    <w:rsid w:val="000302EF"/>
    <w:rsid w:val="00031831"/>
    <w:rsid w:val="00032907"/>
    <w:rsid w:val="0003396A"/>
    <w:rsid w:val="00036376"/>
    <w:rsid w:val="00037EB3"/>
    <w:rsid w:val="00041CE4"/>
    <w:rsid w:val="00052F31"/>
    <w:rsid w:val="00060A01"/>
    <w:rsid w:val="000620F8"/>
    <w:rsid w:val="00062E26"/>
    <w:rsid w:val="00065FA6"/>
    <w:rsid w:val="000738A8"/>
    <w:rsid w:val="000802CD"/>
    <w:rsid w:val="00080B09"/>
    <w:rsid w:val="00082616"/>
    <w:rsid w:val="00084461"/>
    <w:rsid w:val="00085640"/>
    <w:rsid w:val="000871F2"/>
    <w:rsid w:val="00087E0C"/>
    <w:rsid w:val="00093A9B"/>
    <w:rsid w:val="00095733"/>
    <w:rsid w:val="000959DA"/>
    <w:rsid w:val="000A3115"/>
    <w:rsid w:val="000A4983"/>
    <w:rsid w:val="000A7AFA"/>
    <w:rsid w:val="000B2425"/>
    <w:rsid w:val="000C25C4"/>
    <w:rsid w:val="000C4A4B"/>
    <w:rsid w:val="000C5058"/>
    <w:rsid w:val="000E0868"/>
    <w:rsid w:val="001115C4"/>
    <w:rsid w:val="001120CF"/>
    <w:rsid w:val="00116DC2"/>
    <w:rsid w:val="00117122"/>
    <w:rsid w:val="00120853"/>
    <w:rsid w:val="001323DB"/>
    <w:rsid w:val="001328A2"/>
    <w:rsid w:val="00134025"/>
    <w:rsid w:val="00135679"/>
    <w:rsid w:val="001362BA"/>
    <w:rsid w:val="00136656"/>
    <w:rsid w:val="00142CC3"/>
    <w:rsid w:val="00155527"/>
    <w:rsid w:val="0016322F"/>
    <w:rsid w:val="00174D93"/>
    <w:rsid w:val="00185035"/>
    <w:rsid w:val="00186201"/>
    <w:rsid w:val="00187DB7"/>
    <w:rsid w:val="00191EF2"/>
    <w:rsid w:val="001943F4"/>
    <w:rsid w:val="00197B98"/>
    <w:rsid w:val="001A0A9F"/>
    <w:rsid w:val="001B4137"/>
    <w:rsid w:val="001B52A0"/>
    <w:rsid w:val="001C26AF"/>
    <w:rsid w:val="001C35E0"/>
    <w:rsid w:val="001C36A4"/>
    <w:rsid w:val="001C41FB"/>
    <w:rsid w:val="001C4E7C"/>
    <w:rsid w:val="001C72C6"/>
    <w:rsid w:val="001D0F8B"/>
    <w:rsid w:val="001D13BD"/>
    <w:rsid w:val="001D5164"/>
    <w:rsid w:val="001E41E4"/>
    <w:rsid w:val="001E5476"/>
    <w:rsid w:val="001F231F"/>
    <w:rsid w:val="001F2A9D"/>
    <w:rsid w:val="001F4A66"/>
    <w:rsid w:val="001F6B03"/>
    <w:rsid w:val="001F7703"/>
    <w:rsid w:val="00207ED9"/>
    <w:rsid w:val="00210794"/>
    <w:rsid w:val="002122F1"/>
    <w:rsid w:val="00212E82"/>
    <w:rsid w:val="00214942"/>
    <w:rsid w:val="00214E60"/>
    <w:rsid w:val="0021672E"/>
    <w:rsid w:val="0022108C"/>
    <w:rsid w:val="00221C65"/>
    <w:rsid w:val="002321C0"/>
    <w:rsid w:val="00241CFC"/>
    <w:rsid w:val="002423A2"/>
    <w:rsid w:val="00242954"/>
    <w:rsid w:val="00243554"/>
    <w:rsid w:val="0024389C"/>
    <w:rsid w:val="00243A7E"/>
    <w:rsid w:val="00257686"/>
    <w:rsid w:val="00265D2A"/>
    <w:rsid w:val="0028007E"/>
    <w:rsid w:val="0028124E"/>
    <w:rsid w:val="002822FC"/>
    <w:rsid w:val="00285754"/>
    <w:rsid w:val="00287C9D"/>
    <w:rsid w:val="002942CC"/>
    <w:rsid w:val="00296635"/>
    <w:rsid w:val="002A31C6"/>
    <w:rsid w:val="002A3A97"/>
    <w:rsid w:val="002A3CEE"/>
    <w:rsid w:val="002A5255"/>
    <w:rsid w:val="002A6873"/>
    <w:rsid w:val="002A740F"/>
    <w:rsid w:val="002B1266"/>
    <w:rsid w:val="002C7CDF"/>
    <w:rsid w:val="002D193B"/>
    <w:rsid w:val="002D6BFA"/>
    <w:rsid w:val="002D7575"/>
    <w:rsid w:val="002E0003"/>
    <w:rsid w:val="002E42D7"/>
    <w:rsid w:val="002E46D5"/>
    <w:rsid w:val="002E4E1C"/>
    <w:rsid w:val="002F11A2"/>
    <w:rsid w:val="002F1571"/>
    <w:rsid w:val="002F2C1A"/>
    <w:rsid w:val="002F4F9B"/>
    <w:rsid w:val="00302377"/>
    <w:rsid w:val="003132EC"/>
    <w:rsid w:val="0031455C"/>
    <w:rsid w:val="00321047"/>
    <w:rsid w:val="003221DA"/>
    <w:rsid w:val="003274EE"/>
    <w:rsid w:val="00331A86"/>
    <w:rsid w:val="00333F89"/>
    <w:rsid w:val="00336FE8"/>
    <w:rsid w:val="00342983"/>
    <w:rsid w:val="00353228"/>
    <w:rsid w:val="003541F6"/>
    <w:rsid w:val="0036504F"/>
    <w:rsid w:val="0037095F"/>
    <w:rsid w:val="00372895"/>
    <w:rsid w:val="00373358"/>
    <w:rsid w:val="00376700"/>
    <w:rsid w:val="00376E65"/>
    <w:rsid w:val="003826FB"/>
    <w:rsid w:val="00393084"/>
    <w:rsid w:val="00393BA3"/>
    <w:rsid w:val="00396B34"/>
    <w:rsid w:val="003A0328"/>
    <w:rsid w:val="003A0740"/>
    <w:rsid w:val="003A2201"/>
    <w:rsid w:val="003A6AEA"/>
    <w:rsid w:val="003B5845"/>
    <w:rsid w:val="003C16C9"/>
    <w:rsid w:val="003C6EFA"/>
    <w:rsid w:val="003D2038"/>
    <w:rsid w:val="003D6A22"/>
    <w:rsid w:val="003E1302"/>
    <w:rsid w:val="003E22FB"/>
    <w:rsid w:val="003E35A5"/>
    <w:rsid w:val="003E6476"/>
    <w:rsid w:val="003E7AD1"/>
    <w:rsid w:val="003F15BB"/>
    <w:rsid w:val="003F3A29"/>
    <w:rsid w:val="003F5472"/>
    <w:rsid w:val="004032F3"/>
    <w:rsid w:val="00404775"/>
    <w:rsid w:val="0040736D"/>
    <w:rsid w:val="0041094B"/>
    <w:rsid w:val="00413F0A"/>
    <w:rsid w:val="004271AD"/>
    <w:rsid w:val="00430281"/>
    <w:rsid w:val="004405DF"/>
    <w:rsid w:val="004457F2"/>
    <w:rsid w:val="00445A67"/>
    <w:rsid w:val="00447C8D"/>
    <w:rsid w:val="004507A6"/>
    <w:rsid w:val="00451255"/>
    <w:rsid w:val="0045179D"/>
    <w:rsid w:val="004650B2"/>
    <w:rsid w:val="00470974"/>
    <w:rsid w:val="00471153"/>
    <w:rsid w:val="004733F7"/>
    <w:rsid w:val="00477FBF"/>
    <w:rsid w:val="004841A0"/>
    <w:rsid w:val="00485283"/>
    <w:rsid w:val="00486689"/>
    <w:rsid w:val="00487923"/>
    <w:rsid w:val="0049175D"/>
    <w:rsid w:val="0049205C"/>
    <w:rsid w:val="00492972"/>
    <w:rsid w:val="00492E3E"/>
    <w:rsid w:val="004971E2"/>
    <w:rsid w:val="004A14E4"/>
    <w:rsid w:val="004A2393"/>
    <w:rsid w:val="004A58FB"/>
    <w:rsid w:val="004A602F"/>
    <w:rsid w:val="004A71AD"/>
    <w:rsid w:val="004B21DA"/>
    <w:rsid w:val="004B38F0"/>
    <w:rsid w:val="004B5794"/>
    <w:rsid w:val="004B7CFC"/>
    <w:rsid w:val="004C0E19"/>
    <w:rsid w:val="004D286C"/>
    <w:rsid w:val="004E6608"/>
    <w:rsid w:val="004E6B25"/>
    <w:rsid w:val="004F3163"/>
    <w:rsid w:val="00505555"/>
    <w:rsid w:val="005108D6"/>
    <w:rsid w:val="00513855"/>
    <w:rsid w:val="00514131"/>
    <w:rsid w:val="00514E3E"/>
    <w:rsid w:val="005166BA"/>
    <w:rsid w:val="00521B2B"/>
    <w:rsid w:val="00526552"/>
    <w:rsid w:val="00527423"/>
    <w:rsid w:val="00527C20"/>
    <w:rsid w:val="0053097C"/>
    <w:rsid w:val="00531216"/>
    <w:rsid w:val="005344C2"/>
    <w:rsid w:val="00535FFE"/>
    <w:rsid w:val="00536620"/>
    <w:rsid w:val="005423A1"/>
    <w:rsid w:val="00542E2B"/>
    <w:rsid w:val="005432C1"/>
    <w:rsid w:val="00544261"/>
    <w:rsid w:val="00544DEE"/>
    <w:rsid w:val="005524DB"/>
    <w:rsid w:val="0056130E"/>
    <w:rsid w:val="0056290B"/>
    <w:rsid w:val="005631AC"/>
    <w:rsid w:val="0056529C"/>
    <w:rsid w:val="0056595D"/>
    <w:rsid w:val="00566325"/>
    <w:rsid w:val="005705FB"/>
    <w:rsid w:val="00575260"/>
    <w:rsid w:val="00582262"/>
    <w:rsid w:val="00583F65"/>
    <w:rsid w:val="00585425"/>
    <w:rsid w:val="005867D1"/>
    <w:rsid w:val="00591B22"/>
    <w:rsid w:val="00591F13"/>
    <w:rsid w:val="00592143"/>
    <w:rsid w:val="005A3775"/>
    <w:rsid w:val="005A5688"/>
    <w:rsid w:val="005A5D73"/>
    <w:rsid w:val="005B0C72"/>
    <w:rsid w:val="005B1036"/>
    <w:rsid w:val="005B6886"/>
    <w:rsid w:val="005E1431"/>
    <w:rsid w:val="005E3464"/>
    <w:rsid w:val="005F0A68"/>
    <w:rsid w:val="005F2787"/>
    <w:rsid w:val="0060048B"/>
    <w:rsid w:val="00601E91"/>
    <w:rsid w:val="00613BF9"/>
    <w:rsid w:val="00613EE9"/>
    <w:rsid w:val="00614CFD"/>
    <w:rsid w:val="00616C44"/>
    <w:rsid w:val="00620723"/>
    <w:rsid w:val="00622FF9"/>
    <w:rsid w:val="00631B1D"/>
    <w:rsid w:val="00634A5D"/>
    <w:rsid w:val="006364A8"/>
    <w:rsid w:val="0063695C"/>
    <w:rsid w:val="00641E21"/>
    <w:rsid w:val="00645039"/>
    <w:rsid w:val="006471B8"/>
    <w:rsid w:val="00650348"/>
    <w:rsid w:val="00651A7D"/>
    <w:rsid w:val="0065446F"/>
    <w:rsid w:val="00665291"/>
    <w:rsid w:val="00665E57"/>
    <w:rsid w:val="00680074"/>
    <w:rsid w:val="00681336"/>
    <w:rsid w:val="00684ADC"/>
    <w:rsid w:val="00690D92"/>
    <w:rsid w:val="00691AE0"/>
    <w:rsid w:val="00691F98"/>
    <w:rsid w:val="0069626D"/>
    <w:rsid w:val="00696D13"/>
    <w:rsid w:val="006A0838"/>
    <w:rsid w:val="006A57B2"/>
    <w:rsid w:val="006B1E24"/>
    <w:rsid w:val="006B3E0A"/>
    <w:rsid w:val="006C172D"/>
    <w:rsid w:val="006C4F07"/>
    <w:rsid w:val="006C7D28"/>
    <w:rsid w:val="006D7F8A"/>
    <w:rsid w:val="006F1DC3"/>
    <w:rsid w:val="006F2183"/>
    <w:rsid w:val="006F4311"/>
    <w:rsid w:val="006F635C"/>
    <w:rsid w:val="006F6838"/>
    <w:rsid w:val="006F72CC"/>
    <w:rsid w:val="006F7CAB"/>
    <w:rsid w:val="007032E4"/>
    <w:rsid w:val="0070493D"/>
    <w:rsid w:val="00706A13"/>
    <w:rsid w:val="007207C0"/>
    <w:rsid w:val="0072176A"/>
    <w:rsid w:val="00721E00"/>
    <w:rsid w:val="007302E0"/>
    <w:rsid w:val="00731E7C"/>
    <w:rsid w:val="007352C2"/>
    <w:rsid w:val="00741045"/>
    <w:rsid w:val="00742CC4"/>
    <w:rsid w:val="00744423"/>
    <w:rsid w:val="007462C8"/>
    <w:rsid w:val="00746601"/>
    <w:rsid w:val="00746771"/>
    <w:rsid w:val="00750B80"/>
    <w:rsid w:val="00752254"/>
    <w:rsid w:val="007545B3"/>
    <w:rsid w:val="007602C8"/>
    <w:rsid w:val="007609AA"/>
    <w:rsid w:val="007675F8"/>
    <w:rsid w:val="00773872"/>
    <w:rsid w:val="0077762F"/>
    <w:rsid w:val="00781D6C"/>
    <w:rsid w:val="00785465"/>
    <w:rsid w:val="007857D8"/>
    <w:rsid w:val="007868CD"/>
    <w:rsid w:val="00787698"/>
    <w:rsid w:val="0079084D"/>
    <w:rsid w:val="00792340"/>
    <w:rsid w:val="007951C5"/>
    <w:rsid w:val="007A22C3"/>
    <w:rsid w:val="007A4F9C"/>
    <w:rsid w:val="007A6D4F"/>
    <w:rsid w:val="007A6FB5"/>
    <w:rsid w:val="007B2B02"/>
    <w:rsid w:val="007B6B2A"/>
    <w:rsid w:val="007C26D4"/>
    <w:rsid w:val="007C61BD"/>
    <w:rsid w:val="007D3ED2"/>
    <w:rsid w:val="007D4A02"/>
    <w:rsid w:val="007E0BCC"/>
    <w:rsid w:val="007E4E70"/>
    <w:rsid w:val="007E58B7"/>
    <w:rsid w:val="007F1667"/>
    <w:rsid w:val="007F462C"/>
    <w:rsid w:val="007F52CC"/>
    <w:rsid w:val="007F55B4"/>
    <w:rsid w:val="007F7D89"/>
    <w:rsid w:val="00802B7A"/>
    <w:rsid w:val="008030C9"/>
    <w:rsid w:val="00804EC6"/>
    <w:rsid w:val="00805EA2"/>
    <w:rsid w:val="00811897"/>
    <w:rsid w:val="00823246"/>
    <w:rsid w:val="0083082C"/>
    <w:rsid w:val="008309CE"/>
    <w:rsid w:val="008323BE"/>
    <w:rsid w:val="0083654F"/>
    <w:rsid w:val="008375C5"/>
    <w:rsid w:val="008421F1"/>
    <w:rsid w:val="0084269D"/>
    <w:rsid w:val="00846408"/>
    <w:rsid w:val="0085178F"/>
    <w:rsid w:val="00852760"/>
    <w:rsid w:val="00863202"/>
    <w:rsid w:val="00867BA7"/>
    <w:rsid w:val="008701CF"/>
    <w:rsid w:val="008731C4"/>
    <w:rsid w:val="00873CB1"/>
    <w:rsid w:val="00876302"/>
    <w:rsid w:val="008804D1"/>
    <w:rsid w:val="008814F8"/>
    <w:rsid w:val="0088170E"/>
    <w:rsid w:val="008834BA"/>
    <w:rsid w:val="00883929"/>
    <w:rsid w:val="00886B01"/>
    <w:rsid w:val="00886B15"/>
    <w:rsid w:val="00890CAF"/>
    <w:rsid w:val="008A5384"/>
    <w:rsid w:val="008A73B9"/>
    <w:rsid w:val="008C243D"/>
    <w:rsid w:val="008C5273"/>
    <w:rsid w:val="008C54EE"/>
    <w:rsid w:val="008D0FCD"/>
    <w:rsid w:val="008D4394"/>
    <w:rsid w:val="008D6229"/>
    <w:rsid w:val="008E73B9"/>
    <w:rsid w:val="00912A21"/>
    <w:rsid w:val="00914535"/>
    <w:rsid w:val="00914CC4"/>
    <w:rsid w:val="0093710B"/>
    <w:rsid w:val="00940138"/>
    <w:rsid w:val="00941A9B"/>
    <w:rsid w:val="00941D68"/>
    <w:rsid w:val="00944650"/>
    <w:rsid w:val="00945353"/>
    <w:rsid w:val="0095056F"/>
    <w:rsid w:val="00952405"/>
    <w:rsid w:val="00956C0C"/>
    <w:rsid w:val="0095717A"/>
    <w:rsid w:val="00960052"/>
    <w:rsid w:val="0096047F"/>
    <w:rsid w:val="00960CBF"/>
    <w:rsid w:val="00965B42"/>
    <w:rsid w:val="00966D1A"/>
    <w:rsid w:val="00973708"/>
    <w:rsid w:val="0097698B"/>
    <w:rsid w:val="00986831"/>
    <w:rsid w:val="00986E63"/>
    <w:rsid w:val="00987C40"/>
    <w:rsid w:val="009A2D21"/>
    <w:rsid w:val="009A7253"/>
    <w:rsid w:val="009B7F75"/>
    <w:rsid w:val="009C1BE2"/>
    <w:rsid w:val="009D2AF3"/>
    <w:rsid w:val="009D32F2"/>
    <w:rsid w:val="009E68A0"/>
    <w:rsid w:val="009F18A5"/>
    <w:rsid w:val="009F3BE1"/>
    <w:rsid w:val="009F4C62"/>
    <w:rsid w:val="009F5640"/>
    <w:rsid w:val="009F7381"/>
    <w:rsid w:val="00A002D0"/>
    <w:rsid w:val="00A0055F"/>
    <w:rsid w:val="00A15953"/>
    <w:rsid w:val="00A2442F"/>
    <w:rsid w:val="00A31422"/>
    <w:rsid w:val="00A40D8B"/>
    <w:rsid w:val="00A44317"/>
    <w:rsid w:val="00A479B1"/>
    <w:rsid w:val="00A521FC"/>
    <w:rsid w:val="00A53E56"/>
    <w:rsid w:val="00A61347"/>
    <w:rsid w:val="00A67999"/>
    <w:rsid w:val="00A713AE"/>
    <w:rsid w:val="00A77287"/>
    <w:rsid w:val="00A774DA"/>
    <w:rsid w:val="00A80B29"/>
    <w:rsid w:val="00A816BF"/>
    <w:rsid w:val="00A82C9E"/>
    <w:rsid w:val="00A851D3"/>
    <w:rsid w:val="00A91B1C"/>
    <w:rsid w:val="00A925A5"/>
    <w:rsid w:val="00A93BD0"/>
    <w:rsid w:val="00A93F00"/>
    <w:rsid w:val="00AA4371"/>
    <w:rsid w:val="00AA5F35"/>
    <w:rsid w:val="00AC5E3C"/>
    <w:rsid w:val="00AC7523"/>
    <w:rsid w:val="00AD3615"/>
    <w:rsid w:val="00AD6FA9"/>
    <w:rsid w:val="00AE3EE0"/>
    <w:rsid w:val="00AE4167"/>
    <w:rsid w:val="00AE53B0"/>
    <w:rsid w:val="00B01258"/>
    <w:rsid w:val="00B0695F"/>
    <w:rsid w:val="00B07756"/>
    <w:rsid w:val="00B10363"/>
    <w:rsid w:val="00B16780"/>
    <w:rsid w:val="00B17135"/>
    <w:rsid w:val="00B17913"/>
    <w:rsid w:val="00B203F1"/>
    <w:rsid w:val="00B23344"/>
    <w:rsid w:val="00B2364E"/>
    <w:rsid w:val="00B260F4"/>
    <w:rsid w:val="00B330BE"/>
    <w:rsid w:val="00B337EA"/>
    <w:rsid w:val="00B42746"/>
    <w:rsid w:val="00B428A8"/>
    <w:rsid w:val="00B47798"/>
    <w:rsid w:val="00B61DA4"/>
    <w:rsid w:val="00B6412F"/>
    <w:rsid w:val="00B64EB9"/>
    <w:rsid w:val="00B668B1"/>
    <w:rsid w:val="00B7343B"/>
    <w:rsid w:val="00B74D59"/>
    <w:rsid w:val="00B82197"/>
    <w:rsid w:val="00B82BC3"/>
    <w:rsid w:val="00B8336F"/>
    <w:rsid w:val="00B86030"/>
    <w:rsid w:val="00B90652"/>
    <w:rsid w:val="00B935AE"/>
    <w:rsid w:val="00B9753A"/>
    <w:rsid w:val="00BA0BDD"/>
    <w:rsid w:val="00BA23BB"/>
    <w:rsid w:val="00BB2B10"/>
    <w:rsid w:val="00BC01BB"/>
    <w:rsid w:val="00BC0708"/>
    <w:rsid w:val="00BD6D92"/>
    <w:rsid w:val="00BD7C5F"/>
    <w:rsid w:val="00BE68B3"/>
    <w:rsid w:val="00BF07AB"/>
    <w:rsid w:val="00BF3E7B"/>
    <w:rsid w:val="00BF6728"/>
    <w:rsid w:val="00C010D8"/>
    <w:rsid w:val="00C01985"/>
    <w:rsid w:val="00C04C6B"/>
    <w:rsid w:val="00C05A8C"/>
    <w:rsid w:val="00C22A4F"/>
    <w:rsid w:val="00C2327E"/>
    <w:rsid w:val="00C25695"/>
    <w:rsid w:val="00C266DE"/>
    <w:rsid w:val="00C33ED6"/>
    <w:rsid w:val="00C353C1"/>
    <w:rsid w:val="00C414AF"/>
    <w:rsid w:val="00C50406"/>
    <w:rsid w:val="00C53D05"/>
    <w:rsid w:val="00C5447A"/>
    <w:rsid w:val="00C5459D"/>
    <w:rsid w:val="00C64F3D"/>
    <w:rsid w:val="00C7288B"/>
    <w:rsid w:val="00C75942"/>
    <w:rsid w:val="00C8052F"/>
    <w:rsid w:val="00C83B77"/>
    <w:rsid w:val="00C83F5E"/>
    <w:rsid w:val="00C84821"/>
    <w:rsid w:val="00C84BE0"/>
    <w:rsid w:val="00C86A78"/>
    <w:rsid w:val="00CB32EA"/>
    <w:rsid w:val="00CB495E"/>
    <w:rsid w:val="00CB5EA0"/>
    <w:rsid w:val="00CB6D2F"/>
    <w:rsid w:val="00CD4214"/>
    <w:rsid w:val="00CD7F2A"/>
    <w:rsid w:val="00CE77A8"/>
    <w:rsid w:val="00CF2E48"/>
    <w:rsid w:val="00CF3937"/>
    <w:rsid w:val="00CF5CCF"/>
    <w:rsid w:val="00D07B6B"/>
    <w:rsid w:val="00D127C0"/>
    <w:rsid w:val="00D14796"/>
    <w:rsid w:val="00D22A91"/>
    <w:rsid w:val="00D24188"/>
    <w:rsid w:val="00D319DA"/>
    <w:rsid w:val="00D325BF"/>
    <w:rsid w:val="00D40DD5"/>
    <w:rsid w:val="00D42F7E"/>
    <w:rsid w:val="00D43F82"/>
    <w:rsid w:val="00D44E22"/>
    <w:rsid w:val="00D46A49"/>
    <w:rsid w:val="00D51BE8"/>
    <w:rsid w:val="00D56CAB"/>
    <w:rsid w:val="00D5791F"/>
    <w:rsid w:val="00D6138A"/>
    <w:rsid w:val="00D66355"/>
    <w:rsid w:val="00D70D29"/>
    <w:rsid w:val="00D71699"/>
    <w:rsid w:val="00D7375F"/>
    <w:rsid w:val="00D74272"/>
    <w:rsid w:val="00D76128"/>
    <w:rsid w:val="00D770F4"/>
    <w:rsid w:val="00D8103C"/>
    <w:rsid w:val="00D8177A"/>
    <w:rsid w:val="00D83C50"/>
    <w:rsid w:val="00D84523"/>
    <w:rsid w:val="00D84D70"/>
    <w:rsid w:val="00D8543E"/>
    <w:rsid w:val="00D87532"/>
    <w:rsid w:val="00D92B27"/>
    <w:rsid w:val="00DA0948"/>
    <w:rsid w:val="00DB10B0"/>
    <w:rsid w:val="00DB14FC"/>
    <w:rsid w:val="00DB162E"/>
    <w:rsid w:val="00DB5B87"/>
    <w:rsid w:val="00DB60C4"/>
    <w:rsid w:val="00DB6977"/>
    <w:rsid w:val="00DB6E8E"/>
    <w:rsid w:val="00DB791E"/>
    <w:rsid w:val="00DC3BE6"/>
    <w:rsid w:val="00DD1603"/>
    <w:rsid w:val="00DD2090"/>
    <w:rsid w:val="00DD33B7"/>
    <w:rsid w:val="00DD7992"/>
    <w:rsid w:val="00DE7BC1"/>
    <w:rsid w:val="00DF6E91"/>
    <w:rsid w:val="00E0798D"/>
    <w:rsid w:val="00E07DB9"/>
    <w:rsid w:val="00E10E5D"/>
    <w:rsid w:val="00E13150"/>
    <w:rsid w:val="00E13EAD"/>
    <w:rsid w:val="00E202F5"/>
    <w:rsid w:val="00E2258A"/>
    <w:rsid w:val="00E23E1C"/>
    <w:rsid w:val="00E23EE9"/>
    <w:rsid w:val="00E24D1B"/>
    <w:rsid w:val="00E262C2"/>
    <w:rsid w:val="00E30539"/>
    <w:rsid w:val="00E30D7C"/>
    <w:rsid w:val="00E32F7E"/>
    <w:rsid w:val="00E3335F"/>
    <w:rsid w:val="00E33EF3"/>
    <w:rsid w:val="00E378CD"/>
    <w:rsid w:val="00E42E43"/>
    <w:rsid w:val="00E51970"/>
    <w:rsid w:val="00E53F0E"/>
    <w:rsid w:val="00E62385"/>
    <w:rsid w:val="00E672E5"/>
    <w:rsid w:val="00E725CD"/>
    <w:rsid w:val="00E743B1"/>
    <w:rsid w:val="00E76775"/>
    <w:rsid w:val="00E77F7A"/>
    <w:rsid w:val="00E82698"/>
    <w:rsid w:val="00E87231"/>
    <w:rsid w:val="00E91160"/>
    <w:rsid w:val="00EA1C51"/>
    <w:rsid w:val="00EA6EB4"/>
    <w:rsid w:val="00EA7BDC"/>
    <w:rsid w:val="00EB06DD"/>
    <w:rsid w:val="00EB1AC0"/>
    <w:rsid w:val="00EC30B8"/>
    <w:rsid w:val="00EE0E70"/>
    <w:rsid w:val="00EF1DE0"/>
    <w:rsid w:val="00F0001B"/>
    <w:rsid w:val="00F006C4"/>
    <w:rsid w:val="00F11810"/>
    <w:rsid w:val="00F11B54"/>
    <w:rsid w:val="00F13FCC"/>
    <w:rsid w:val="00F21FBC"/>
    <w:rsid w:val="00F30FAE"/>
    <w:rsid w:val="00F322B8"/>
    <w:rsid w:val="00F36A53"/>
    <w:rsid w:val="00F414B5"/>
    <w:rsid w:val="00F45547"/>
    <w:rsid w:val="00F47756"/>
    <w:rsid w:val="00F52503"/>
    <w:rsid w:val="00F6494B"/>
    <w:rsid w:val="00F6523B"/>
    <w:rsid w:val="00F6544D"/>
    <w:rsid w:val="00F766A7"/>
    <w:rsid w:val="00F8184E"/>
    <w:rsid w:val="00F84A7B"/>
    <w:rsid w:val="00FA1F60"/>
    <w:rsid w:val="00FB00B8"/>
    <w:rsid w:val="00FC0259"/>
    <w:rsid w:val="00FC3E4E"/>
    <w:rsid w:val="00FD280E"/>
    <w:rsid w:val="00FD7865"/>
    <w:rsid w:val="00FD78DF"/>
    <w:rsid w:val="00FE33EB"/>
    <w:rsid w:val="00FE5309"/>
    <w:rsid w:val="00FF38F5"/>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F3C856"/>
  <w15:docId w15:val="{2053383F-C6CB-4C78-9971-3FD1E5D2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2CD"/>
    <w:pP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4F8"/>
    <w:pPr>
      <w:tabs>
        <w:tab w:val="center" w:pos="4680"/>
        <w:tab w:val="right" w:pos="9360"/>
      </w:tabs>
    </w:pPr>
  </w:style>
  <w:style w:type="character" w:customStyle="1" w:styleId="HeaderChar">
    <w:name w:val="Header Char"/>
    <w:basedOn w:val="DefaultParagraphFont"/>
    <w:link w:val="Header"/>
    <w:uiPriority w:val="99"/>
    <w:rsid w:val="008814F8"/>
  </w:style>
  <w:style w:type="paragraph" w:styleId="Footer">
    <w:name w:val="footer"/>
    <w:basedOn w:val="Normal"/>
    <w:link w:val="FooterChar"/>
    <w:uiPriority w:val="99"/>
    <w:unhideWhenUsed/>
    <w:rsid w:val="008814F8"/>
    <w:pPr>
      <w:tabs>
        <w:tab w:val="center" w:pos="4680"/>
        <w:tab w:val="right" w:pos="9360"/>
      </w:tabs>
    </w:pPr>
  </w:style>
  <w:style w:type="character" w:customStyle="1" w:styleId="FooterChar">
    <w:name w:val="Footer Char"/>
    <w:basedOn w:val="DefaultParagraphFont"/>
    <w:link w:val="Footer"/>
    <w:uiPriority w:val="99"/>
    <w:rsid w:val="008814F8"/>
  </w:style>
  <w:style w:type="character" w:styleId="Hyperlink">
    <w:name w:val="Hyperlink"/>
    <w:basedOn w:val="DefaultParagraphFont"/>
    <w:uiPriority w:val="99"/>
    <w:unhideWhenUsed/>
    <w:rsid w:val="008814F8"/>
    <w:rPr>
      <w:color w:val="0000FF" w:themeColor="hyperlink"/>
      <w:u w:val="single"/>
    </w:rPr>
  </w:style>
  <w:style w:type="character" w:styleId="FollowedHyperlink">
    <w:name w:val="FollowedHyperlink"/>
    <w:basedOn w:val="DefaultParagraphFont"/>
    <w:uiPriority w:val="99"/>
    <w:semiHidden/>
    <w:unhideWhenUsed/>
    <w:rsid w:val="00D22A91"/>
    <w:rPr>
      <w:color w:val="800080" w:themeColor="followedHyperlink"/>
      <w:u w:val="single"/>
    </w:rPr>
  </w:style>
  <w:style w:type="paragraph" w:styleId="ListParagraph">
    <w:name w:val="List Paragraph"/>
    <w:basedOn w:val="Normal"/>
    <w:uiPriority w:val="34"/>
    <w:qFormat/>
    <w:rsid w:val="00E87231"/>
    <w:pPr>
      <w:ind w:left="720"/>
      <w:contextualSpacing/>
    </w:pPr>
  </w:style>
  <w:style w:type="table" w:styleId="TableGrid">
    <w:name w:val="Table Grid"/>
    <w:basedOn w:val="TableNormal"/>
    <w:uiPriority w:val="59"/>
    <w:rsid w:val="0079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609AA"/>
    <w:rPr>
      <w:rFonts w:ascii="Calibri" w:hAnsi="Calibri"/>
      <w:szCs w:val="21"/>
    </w:rPr>
  </w:style>
  <w:style w:type="character" w:customStyle="1" w:styleId="PlainTextChar">
    <w:name w:val="Plain Text Char"/>
    <w:basedOn w:val="DefaultParagraphFont"/>
    <w:link w:val="PlainText"/>
    <w:uiPriority w:val="99"/>
    <w:semiHidden/>
    <w:rsid w:val="007609AA"/>
    <w:rPr>
      <w:rFonts w:ascii="Calibri" w:hAnsi="Calibri"/>
      <w:szCs w:val="21"/>
    </w:rPr>
  </w:style>
  <w:style w:type="paragraph" w:styleId="BalloonText">
    <w:name w:val="Balloon Text"/>
    <w:basedOn w:val="Normal"/>
    <w:link w:val="BalloonTextChar"/>
    <w:uiPriority w:val="99"/>
    <w:semiHidden/>
    <w:unhideWhenUsed/>
    <w:rsid w:val="00BF3E7B"/>
    <w:rPr>
      <w:rFonts w:ascii="Tahoma" w:hAnsi="Tahoma" w:cs="Tahoma"/>
      <w:sz w:val="16"/>
      <w:szCs w:val="16"/>
    </w:rPr>
  </w:style>
  <w:style w:type="character" w:customStyle="1" w:styleId="BalloonTextChar">
    <w:name w:val="Balloon Text Char"/>
    <w:basedOn w:val="DefaultParagraphFont"/>
    <w:link w:val="BalloonText"/>
    <w:uiPriority w:val="99"/>
    <w:semiHidden/>
    <w:rsid w:val="00BF3E7B"/>
    <w:rPr>
      <w:rFonts w:ascii="Tahoma" w:hAnsi="Tahoma" w:cs="Tahoma"/>
      <w:sz w:val="16"/>
      <w:szCs w:val="16"/>
    </w:rPr>
  </w:style>
  <w:style w:type="table" w:styleId="LightGrid-Accent1">
    <w:name w:val="Light Grid Accent 1"/>
    <w:basedOn w:val="TableNormal"/>
    <w:uiPriority w:val="62"/>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A443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443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802CD"/>
    <w:rPr>
      <w:b/>
      <w:sz w:val="24"/>
      <w:szCs w:val="24"/>
      <w:u w:val="single"/>
    </w:rPr>
  </w:style>
  <w:style w:type="character" w:styleId="CommentReference">
    <w:name w:val="annotation reference"/>
    <w:basedOn w:val="DefaultParagraphFont"/>
    <w:uiPriority w:val="99"/>
    <w:semiHidden/>
    <w:unhideWhenUsed/>
    <w:rsid w:val="00052F31"/>
    <w:rPr>
      <w:sz w:val="16"/>
      <w:szCs w:val="16"/>
    </w:rPr>
  </w:style>
  <w:style w:type="paragraph" w:styleId="CommentText">
    <w:name w:val="annotation text"/>
    <w:basedOn w:val="Normal"/>
    <w:link w:val="CommentTextChar"/>
    <w:uiPriority w:val="99"/>
    <w:semiHidden/>
    <w:unhideWhenUsed/>
    <w:rsid w:val="00052F31"/>
    <w:pPr>
      <w:spacing w:after="200"/>
    </w:pPr>
    <w:rPr>
      <w:sz w:val="20"/>
      <w:szCs w:val="20"/>
    </w:rPr>
  </w:style>
  <w:style w:type="character" w:customStyle="1" w:styleId="CommentTextChar">
    <w:name w:val="Comment Text Char"/>
    <w:basedOn w:val="DefaultParagraphFont"/>
    <w:link w:val="CommentText"/>
    <w:uiPriority w:val="99"/>
    <w:semiHidden/>
    <w:rsid w:val="00052F31"/>
    <w:rPr>
      <w:sz w:val="20"/>
      <w:szCs w:val="20"/>
    </w:rPr>
  </w:style>
  <w:style w:type="paragraph" w:styleId="FootnoteText">
    <w:name w:val="footnote text"/>
    <w:basedOn w:val="Normal"/>
    <w:link w:val="FootnoteTextChar"/>
    <w:uiPriority w:val="99"/>
    <w:semiHidden/>
    <w:unhideWhenUsed/>
    <w:rsid w:val="00052F31"/>
    <w:rPr>
      <w:sz w:val="20"/>
      <w:szCs w:val="20"/>
    </w:rPr>
  </w:style>
  <w:style w:type="character" w:customStyle="1" w:styleId="FootnoteTextChar">
    <w:name w:val="Footnote Text Char"/>
    <w:basedOn w:val="DefaultParagraphFont"/>
    <w:link w:val="FootnoteText"/>
    <w:uiPriority w:val="99"/>
    <w:semiHidden/>
    <w:rsid w:val="00052F31"/>
    <w:rPr>
      <w:sz w:val="20"/>
      <w:szCs w:val="20"/>
    </w:rPr>
  </w:style>
  <w:style w:type="character" w:styleId="FootnoteReference">
    <w:name w:val="footnote reference"/>
    <w:basedOn w:val="DefaultParagraphFont"/>
    <w:uiPriority w:val="99"/>
    <w:semiHidden/>
    <w:unhideWhenUsed/>
    <w:rsid w:val="00052F31"/>
    <w:rPr>
      <w:vertAlign w:val="superscript"/>
    </w:rPr>
  </w:style>
  <w:style w:type="paragraph" w:styleId="NoSpacing">
    <w:name w:val="No Spacing"/>
    <w:uiPriority w:val="1"/>
    <w:qFormat/>
    <w:rsid w:val="00F766A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75942"/>
    <w:pPr>
      <w:spacing w:after="0"/>
    </w:pPr>
    <w:rPr>
      <w:b/>
      <w:bCs/>
    </w:rPr>
  </w:style>
  <w:style w:type="character" w:customStyle="1" w:styleId="CommentSubjectChar">
    <w:name w:val="Comment Subject Char"/>
    <w:basedOn w:val="CommentTextChar"/>
    <w:link w:val="CommentSubject"/>
    <w:uiPriority w:val="99"/>
    <w:semiHidden/>
    <w:rsid w:val="00C759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992">
      <w:bodyDiv w:val="1"/>
      <w:marLeft w:val="0"/>
      <w:marRight w:val="0"/>
      <w:marTop w:val="0"/>
      <w:marBottom w:val="0"/>
      <w:divBdr>
        <w:top w:val="none" w:sz="0" w:space="0" w:color="auto"/>
        <w:left w:val="none" w:sz="0" w:space="0" w:color="auto"/>
        <w:bottom w:val="none" w:sz="0" w:space="0" w:color="auto"/>
        <w:right w:val="none" w:sz="0" w:space="0" w:color="auto"/>
      </w:divBdr>
    </w:div>
    <w:div w:id="303316080">
      <w:bodyDiv w:val="1"/>
      <w:marLeft w:val="0"/>
      <w:marRight w:val="0"/>
      <w:marTop w:val="0"/>
      <w:marBottom w:val="0"/>
      <w:divBdr>
        <w:top w:val="none" w:sz="0" w:space="0" w:color="auto"/>
        <w:left w:val="none" w:sz="0" w:space="0" w:color="auto"/>
        <w:bottom w:val="none" w:sz="0" w:space="0" w:color="auto"/>
        <w:right w:val="none" w:sz="0" w:space="0" w:color="auto"/>
      </w:divBdr>
    </w:div>
    <w:div w:id="306857087">
      <w:bodyDiv w:val="1"/>
      <w:marLeft w:val="0"/>
      <w:marRight w:val="0"/>
      <w:marTop w:val="0"/>
      <w:marBottom w:val="0"/>
      <w:divBdr>
        <w:top w:val="none" w:sz="0" w:space="0" w:color="auto"/>
        <w:left w:val="none" w:sz="0" w:space="0" w:color="auto"/>
        <w:bottom w:val="none" w:sz="0" w:space="0" w:color="auto"/>
        <w:right w:val="none" w:sz="0" w:space="0" w:color="auto"/>
      </w:divBdr>
    </w:div>
    <w:div w:id="500046699">
      <w:bodyDiv w:val="1"/>
      <w:marLeft w:val="0"/>
      <w:marRight w:val="0"/>
      <w:marTop w:val="0"/>
      <w:marBottom w:val="0"/>
      <w:divBdr>
        <w:top w:val="none" w:sz="0" w:space="0" w:color="auto"/>
        <w:left w:val="none" w:sz="0" w:space="0" w:color="auto"/>
        <w:bottom w:val="none" w:sz="0" w:space="0" w:color="auto"/>
        <w:right w:val="none" w:sz="0" w:space="0" w:color="auto"/>
      </w:divBdr>
    </w:div>
    <w:div w:id="1056273203">
      <w:bodyDiv w:val="1"/>
      <w:marLeft w:val="0"/>
      <w:marRight w:val="0"/>
      <w:marTop w:val="0"/>
      <w:marBottom w:val="0"/>
      <w:divBdr>
        <w:top w:val="none" w:sz="0" w:space="0" w:color="auto"/>
        <w:left w:val="none" w:sz="0" w:space="0" w:color="auto"/>
        <w:bottom w:val="none" w:sz="0" w:space="0" w:color="auto"/>
        <w:right w:val="none" w:sz="0" w:space="0" w:color="auto"/>
      </w:divBdr>
    </w:div>
    <w:div w:id="14361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fo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42AE-9547-4B5C-9BC4-513D8D5B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13724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PSERS</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Burton, Jeffrey</dc:creator>
  <cp:lastModifiedBy>Kemp, John</cp:lastModifiedBy>
  <cp:revision>2</cp:revision>
  <dcterms:created xsi:type="dcterms:W3CDTF">2018-06-15T19:07:00Z</dcterms:created>
  <dcterms:modified xsi:type="dcterms:W3CDTF">2018-06-15T19:07:00Z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male DocumentID">
    <vt:lpwstr>56b4623415ca4b95917e570b0a54f499</vt:lpwstr>
  </property>
</Properties>
</file>